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78" w:rsidRPr="001B3EA2" w:rsidRDefault="00AF0111" w:rsidP="009561DB">
      <w:pPr>
        <w:spacing w:after="0"/>
        <w:jc w:val="center"/>
        <w:rPr>
          <w:rFonts w:cs="Times New Roman"/>
          <w:b/>
          <w:color w:val="000000" w:themeColor="text1"/>
          <w:lang w:val="es-CO"/>
        </w:rPr>
      </w:pPr>
      <w:r w:rsidRPr="001B3EA2">
        <w:rPr>
          <w:rFonts w:cs="Times New Roman"/>
          <w:b/>
          <w:color w:val="000000" w:themeColor="text1"/>
          <w:lang w:val="es-CO"/>
        </w:rPr>
        <w:t>Conceptualización</w:t>
      </w:r>
      <w:r w:rsidR="00B35B78" w:rsidRPr="001B3EA2">
        <w:rPr>
          <w:rFonts w:cs="Times New Roman"/>
          <w:b/>
          <w:color w:val="000000" w:themeColor="text1"/>
          <w:lang w:val="es-CO"/>
        </w:rPr>
        <w:t xml:space="preserve"> integral de la responsabilidad social de empresas estatales: </w:t>
      </w:r>
    </w:p>
    <w:p w:rsidR="00B35B78" w:rsidRPr="001B3EA2" w:rsidRDefault="00B35B78" w:rsidP="009561DB">
      <w:pPr>
        <w:spacing w:after="0"/>
        <w:jc w:val="center"/>
        <w:rPr>
          <w:rFonts w:cs="Times New Roman"/>
          <w:b/>
          <w:color w:val="000000" w:themeColor="text1"/>
          <w:lang w:val="es-CO"/>
        </w:rPr>
      </w:pPr>
      <w:r w:rsidRPr="001B3EA2">
        <w:rPr>
          <w:rFonts w:cs="Times New Roman"/>
          <w:b/>
          <w:color w:val="000000" w:themeColor="text1"/>
          <w:lang w:val="es-CO"/>
        </w:rPr>
        <w:t>El caso de Empr</w:t>
      </w:r>
      <w:r w:rsidR="000B4C72" w:rsidRPr="001B3EA2">
        <w:rPr>
          <w:rFonts w:cs="Times New Roman"/>
          <w:b/>
          <w:color w:val="000000" w:themeColor="text1"/>
          <w:lang w:val="es-CO"/>
        </w:rPr>
        <w:t>esas Públicas de Medellín</w:t>
      </w:r>
      <w:r w:rsidR="0066047C">
        <w:rPr>
          <w:rFonts w:cs="Times New Roman"/>
          <w:b/>
          <w:color w:val="000000" w:themeColor="text1"/>
          <w:lang w:val="es-CO"/>
        </w:rPr>
        <w:t>, Colombia</w:t>
      </w:r>
    </w:p>
    <w:p w:rsidR="00B35B78" w:rsidRPr="001B3EA2" w:rsidRDefault="00B35B78" w:rsidP="009561DB">
      <w:pPr>
        <w:spacing w:after="0"/>
        <w:jc w:val="center"/>
        <w:rPr>
          <w:rFonts w:cs="Times New Roman"/>
          <w:b/>
          <w:color w:val="000000" w:themeColor="text1"/>
          <w:lang w:val="es-CO"/>
        </w:rPr>
      </w:pPr>
    </w:p>
    <w:p w:rsidR="00B35B78" w:rsidRPr="001B3EA2" w:rsidRDefault="00B35B78" w:rsidP="009561DB">
      <w:pPr>
        <w:spacing w:after="0"/>
        <w:jc w:val="center"/>
        <w:rPr>
          <w:rFonts w:cs="Times New Roman"/>
          <w:color w:val="000000" w:themeColor="text1"/>
          <w:lang w:val="es-CO"/>
        </w:rPr>
      </w:pPr>
      <w:r w:rsidRPr="001B3EA2">
        <w:rPr>
          <w:rFonts w:cs="Times New Roman"/>
          <w:color w:val="000000" w:themeColor="text1"/>
          <w:lang w:val="es-CO"/>
        </w:rPr>
        <w:t>David Andrés Díez Gómez</w:t>
      </w:r>
      <w:r w:rsidR="009F6131" w:rsidRPr="001B3EA2">
        <w:rPr>
          <w:rFonts w:cs="Times New Roman"/>
          <w:color w:val="000000" w:themeColor="text1"/>
          <w:lang w:val="es-CO"/>
        </w:rPr>
        <w:t xml:space="preserve">, </w:t>
      </w:r>
      <w:r w:rsidRPr="001B3EA2">
        <w:rPr>
          <w:rFonts w:cs="Times New Roman"/>
          <w:color w:val="000000" w:themeColor="text1"/>
          <w:lang w:val="es-CO"/>
        </w:rPr>
        <w:t>Estudiante de d</w:t>
      </w:r>
      <w:bookmarkStart w:id="0" w:name="_GoBack"/>
      <w:bookmarkEnd w:id="0"/>
      <w:r w:rsidRPr="001B3EA2">
        <w:rPr>
          <w:rFonts w:cs="Times New Roman"/>
          <w:color w:val="000000" w:themeColor="text1"/>
          <w:lang w:val="es-CO"/>
        </w:rPr>
        <w:t>octorado en Ingeniería – Industria y Organizaciones</w:t>
      </w:r>
      <w:r w:rsidR="009F6131" w:rsidRPr="001B3EA2">
        <w:rPr>
          <w:rFonts w:cs="Times New Roman"/>
          <w:color w:val="000000" w:themeColor="text1"/>
          <w:lang w:val="es-CO"/>
        </w:rPr>
        <w:t xml:space="preserve">, </w:t>
      </w:r>
      <w:r w:rsidRPr="001B3EA2">
        <w:rPr>
          <w:rFonts w:cs="Times New Roman"/>
          <w:color w:val="000000" w:themeColor="text1"/>
          <w:lang w:val="es-CO"/>
        </w:rPr>
        <w:t>Universidad Nacional de Colombia – Sede Manizales</w:t>
      </w:r>
    </w:p>
    <w:p w:rsidR="00B35B78" w:rsidRPr="001B3EA2" w:rsidRDefault="008644E5" w:rsidP="009561DB">
      <w:pPr>
        <w:spacing w:after="0"/>
        <w:jc w:val="center"/>
        <w:rPr>
          <w:rFonts w:cs="Times New Roman"/>
          <w:color w:val="000000" w:themeColor="text1"/>
          <w:lang w:val="es-CO"/>
        </w:rPr>
      </w:pPr>
      <w:hyperlink r:id="rId9" w:history="1">
        <w:r w:rsidR="00B35B78" w:rsidRPr="001B3EA2">
          <w:rPr>
            <w:rStyle w:val="Hipervnculo"/>
            <w:rFonts w:cs="Times New Roman"/>
            <w:color w:val="000000" w:themeColor="text1"/>
            <w:lang w:val="es-CO"/>
          </w:rPr>
          <w:t>dadiezg@gmail.com</w:t>
        </w:r>
      </w:hyperlink>
      <w:r w:rsidR="00B35B78" w:rsidRPr="001B3EA2">
        <w:rPr>
          <w:rFonts w:cs="Times New Roman"/>
          <w:color w:val="000000" w:themeColor="text1"/>
          <w:lang w:val="es-CO"/>
        </w:rPr>
        <w:t xml:space="preserve"> </w:t>
      </w:r>
    </w:p>
    <w:p w:rsidR="00895E90" w:rsidRDefault="00895E90" w:rsidP="009561DB">
      <w:pPr>
        <w:spacing w:after="0"/>
        <w:jc w:val="center"/>
        <w:rPr>
          <w:rFonts w:cs="Times New Roman"/>
          <w:b/>
          <w:color w:val="000000" w:themeColor="text1"/>
          <w:lang w:val="es-CO"/>
        </w:rPr>
      </w:pPr>
    </w:p>
    <w:p w:rsidR="0049467C" w:rsidRPr="001B3EA2" w:rsidRDefault="00D64F51" w:rsidP="009561DB">
      <w:pPr>
        <w:spacing w:after="0"/>
        <w:jc w:val="center"/>
        <w:rPr>
          <w:rFonts w:cs="Times New Roman"/>
          <w:b/>
          <w:color w:val="000000" w:themeColor="text1"/>
          <w:lang w:val="es-CO"/>
        </w:rPr>
      </w:pPr>
      <w:r>
        <w:rPr>
          <w:rFonts w:cs="Times New Roman"/>
          <w:b/>
          <w:color w:val="000000" w:themeColor="text1"/>
          <w:lang w:val="es-CO"/>
        </w:rPr>
        <w:t>Planteamiento del problema</w:t>
      </w:r>
    </w:p>
    <w:p w:rsidR="00895E90" w:rsidRPr="00895E90" w:rsidRDefault="00895E90" w:rsidP="009561DB">
      <w:pPr>
        <w:spacing w:after="0"/>
        <w:jc w:val="both"/>
        <w:rPr>
          <w:rFonts w:cs="Times New Roman"/>
          <w:color w:val="000000" w:themeColor="text1"/>
          <w:lang w:val="es-CO"/>
        </w:rPr>
      </w:pPr>
      <w:r w:rsidRPr="00895E90">
        <w:rPr>
          <w:rFonts w:cs="Times New Roman"/>
          <w:color w:val="000000" w:themeColor="text1"/>
          <w:lang w:val="es-CO"/>
        </w:rPr>
        <w:t>En 2004, Garriga &amp; Melé constataban que las investigaciones sobre responsabilidad social empresarial</w:t>
      </w:r>
      <w:r w:rsidR="00C220E2">
        <w:rPr>
          <w:rFonts w:cs="Times New Roman"/>
          <w:color w:val="000000" w:themeColor="text1"/>
          <w:lang w:val="es-CO"/>
        </w:rPr>
        <w:t xml:space="preserve"> (RSE)</w:t>
      </w:r>
      <w:r w:rsidRPr="00895E90">
        <w:rPr>
          <w:rFonts w:cs="Times New Roman"/>
          <w:color w:val="000000" w:themeColor="text1"/>
          <w:lang w:val="es-CO"/>
        </w:rPr>
        <w:t xml:space="preserve"> carecían de una conceptualización integral, prescriptiva y positiva</w:t>
      </w:r>
      <w:r w:rsidRPr="002C3E26">
        <w:rPr>
          <w:rStyle w:val="Refdenotaalpie"/>
          <w:rFonts w:cs="Times New Roman"/>
          <w:color w:val="000000" w:themeColor="text1"/>
        </w:rPr>
        <w:footnoteReference w:id="1"/>
      </w:r>
      <w:r w:rsidRPr="00895E90">
        <w:rPr>
          <w:rFonts w:cs="Times New Roman"/>
          <w:color w:val="000000" w:themeColor="text1"/>
          <w:lang w:val="es-CO"/>
        </w:rPr>
        <w:t xml:space="preserve">, que articulara las dimensiones éticas, económicas, políticas y culturales de la responsabilidad social, teniendo como eje analítico la relación entre el Estado, los negocios y la sociedad civil. </w:t>
      </w:r>
    </w:p>
    <w:p w:rsidR="00895E90" w:rsidRPr="00895E90" w:rsidRDefault="00895E90" w:rsidP="009561DB">
      <w:pPr>
        <w:spacing w:after="0"/>
        <w:jc w:val="both"/>
        <w:rPr>
          <w:rFonts w:cs="Times New Roman"/>
          <w:color w:val="000000" w:themeColor="text1"/>
          <w:lang w:val="es-CO"/>
        </w:rPr>
      </w:pPr>
    </w:p>
    <w:p w:rsidR="00895E90" w:rsidRDefault="00895E90" w:rsidP="009561DB">
      <w:pPr>
        <w:tabs>
          <w:tab w:val="left" w:pos="939"/>
        </w:tabs>
        <w:spacing w:after="0"/>
        <w:jc w:val="both"/>
        <w:rPr>
          <w:rFonts w:cs="Times New Roman"/>
          <w:color w:val="000000" w:themeColor="text1"/>
          <w:lang w:val="es-CO"/>
        </w:rPr>
      </w:pPr>
      <w:r w:rsidRPr="00895E90">
        <w:rPr>
          <w:rFonts w:cs="Times New Roman"/>
          <w:color w:val="000000" w:themeColor="text1"/>
          <w:lang w:val="es-CO"/>
        </w:rPr>
        <w:t xml:space="preserve">Diez años después, existen avances en el intento de sintetizar el abordaje prescriptivo y positivo de la </w:t>
      </w:r>
      <w:r w:rsidR="00C220E2">
        <w:rPr>
          <w:rFonts w:cs="Times New Roman"/>
          <w:color w:val="000000" w:themeColor="text1"/>
          <w:lang w:val="es-CO"/>
        </w:rPr>
        <w:t>RSE</w:t>
      </w:r>
      <w:r w:rsidRPr="00895E90">
        <w:rPr>
          <w:rFonts w:cs="Times New Roman"/>
          <w:color w:val="000000" w:themeColor="text1"/>
          <w:lang w:val="es-CO"/>
        </w:rPr>
        <w:t xml:space="preserve"> (</w:t>
      </w:r>
      <w:proofErr w:type="spellStart"/>
      <w:r w:rsidRPr="00895E90">
        <w:rPr>
          <w:rFonts w:cs="Times New Roman"/>
          <w:color w:val="000000" w:themeColor="text1"/>
          <w:lang w:val="es-CO"/>
        </w:rPr>
        <w:t>Schreck</w:t>
      </w:r>
      <w:proofErr w:type="spellEnd"/>
      <w:r w:rsidRPr="00895E90">
        <w:rPr>
          <w:rFonts w:cs="Times New Roman"/>
          <w:color w:val="000000" w:themeColor="text1"/>
          <w:lang w:val="es-CO"/>
        </w:rPr>
        <w:t xml:space="preserve">, van </w:t>
      </w:r>
      <w:proofErr w:type="spellStart"/>
      <w:r w:rsidRPr="00895E90">
        <w:rPr>
          <w:rFonts w:cs="Times New Roman"/>
          <w:color w:val="000000" w:themeColor="text1"/>
          <w:lang w:val="es-CO"/>
        </w:rPr>
        <w:t>Aaken</w:t>
      </w:r>
      <w:proofErr w:type="spellEnd"/>
      <w:r w:rsidRPr="00895E90">
        <w:rPr>
          <w:rFonts w:cs="Times New Roman"/>
          <w:color w:val="000000" w:themeColor="text1"/>
          <w:lang w:val="es-CO"/>
        </w:rPr>
        <w:t xml:space="preserve"> &amp; </w:t>
      </w:r>
      <w:proofErr w:type="spellStart"/>
      <w:r w:rsidRPr="00895E90">
        <w:rPr>
          <w:rFonts w:cs="Times New Roman"/>
          <w:color w:val="000000" w:themeColor="text1"/>
          <w:lang w:val="es-CO"/>
        </w:rPr>
        <w:t>Donaldson</w:t>
      </w:r>
      <w:proofErr w:type="spellEnd"/>
      <w:r w:rsidRPr="00895E90">
        <w:rPr>
          <w:rFonts w:cs="Times New Roman"/>
          <w:color w:val="000000" w:themeColor="text1"/>
          <w:lang w:val="es-CO"/>
        </w:rPr>
        <w:t>, 2013), pero sigue pendiente, por un lado, resolver las tensiones entre las principales teorías prescriptivas formuladas desde la ética organizacional (ética de las virtudes, ética utilitarista y ética deontológica), más allá del simple hecho de señalar que cada teoría implica una orientación distint</w:t>
      </w:r>
      <w:r w:rsidR="00993183">
        <w:rPr>
          <w:rFonts w:cs="Times New Roman"/>
          <w:color w:val="000000" w:themeColor="text1"/>
          <w:lang w:val="es-CO"/>
        </w:rPr>
        <w:t>a de la acción (Solomon, 1992); p</w:t>
      </w:r>
      <w:r w:rsidRPr="00895E90">
        <w:rPr>
          <w:rFonts w:cs="Times New Roman"/>
          <w:color w:val="000000" w:themeColor="text1"/>
          <w:lang w:val="es-CO"/>
        </w:rPr>
        <w:t>or otro lado, desarrollar investigaciones que analicen paralelamente las dimensiones éticas, económicas, políticas y culturales de la RSE, pues lo común es encontrar análisis micro, referidos a la viabilidad y conveniencia financiera del ejercicio de la responsabilidad social a nivel organizacional (</w:t>
      </w:r>
      <w:proofErr w:type="spellStart"/>
      <w:r w:rsidR="00C220E2">
        <w:rPr>
          <w:rFonts w:cs="Times New Roman"/>
          <w:color w:val="000000" w:themeColor="text1"/>
          <w:lang w:val="es-CO"/>
        </w:rPr>
        <w:t>Porter</w:t>
      </w:r>
      <w:proofErr w:type="spellEnd"/>
      <w:r w:rsidR="00C220E2">
        <w:rPr>
          <w:rFonts w:cs="Times New Roman"/>
          <w:color w:val="000000" w:themeColor="text1"/>
          <w:lang w:val="es-CO"/>
        </w:rPr>
        <w:t xml:space="preserve"> &amp; </w:t>
      </w:r>
      <w:proofErr w:type="spellStart"/>
      <w:r w:rsidR="00C220E2">
        <w:rPr>
          <w:rFonts w:cs="Times New Roman"/>
          <w:color w:val="000000" w:themeColor="text1"/>
          <w:lang w:val="es-CO"/>
        </w:rPr>
        <w:t>Kramer</w:t>
      </w:r>
      <w:proofErr w:type="spellEnd"/>
      <w:r w:rsidR="00C220E2">
        <w:rPr>
          <w:rFonts w:cs="Times New Roman"/>
          <w:color w:val="000000" w:themeColor="text1"/>
          <w:lang w:val="es-CO"/>
        </w:rPr>
        <w:t xml:space="preserve">, 2011; </w:t>
      </w:r>
      <w:proofErr w:type="spellStart"/>
      <w:r w:rsidRPr="00895E90">
        <w:rPr>
          <w:rFonts w:cs="Times New Roman"/>
          <w:color w:val="000000" w:themeColor="text1"/>
          <w:lang w:val="es-CO"/>
        </w:rPr>
        <w:t>Kraus</w:t>
      </w:r>
      <w:proofErr w:type="spellEnd"/>
      <w:r w:rsidRPr="00895E90">
        <w:rPr>
          <w:rFonts w:cs="Times New Roman"/>
          <w:color w:val="000000" w:themeColor="text1"/>
          <w:lang w:val="es-CO"/>
        </w:rPr>
        <w:t xml:space="preserve"> &amp; </w:t>
      </w:r>
      <w:proofErr w:type="spellStart"/>
      <w:r w:rsidRPr="00895E90">
        <w:rPr>
          <w:rFonts w:cs="Times New Roman"/>
          <w:color w:val="000000" w:themeColor="text1"/>
          <w:lang w:val="es-CO"/>
        </w:rPr>
        <w:t>Brtitzelmaier</w:t>
      </w:r>
      <w:proofErr w:type="spellEnd"/>
      <w:r w:rsidRPr="00895E90">
        <w:rPr>
          <w:rFonts w:cs="Times New Roman"/>
          <w:color w:val="000000" w:themeColor="text1"/>
          <w:lang w:val="es-CO"/>
        </w:rPr>
        <w:t xml:space="preserve">, 2012; </w:t>
      </w:r>
      <w:proofErr w:type="spellStart"/>
      <w:r w:rsidRPr="00895E90">
        <w:rPr>
          <w:rFonts w:cs="Times New Roman"/>
          <w:color w:val="000000" w:themeColor="text1"/>
          <w:lang w:val="es-CO"/>
        </w:rPr>
        <w:t>Narayan</w:t>
      </w:r>
      <w:proofErr w:type="spellEnd"/>
      <w:r w:rsidRPr="00895E90">
        <w:rPr>
          <w:rFonts w:cs="Times New Roman"/>
          <w:color w:val="000000" w:themeColor="text1"/>
          <w:lang w:val="es-CO"/>
        </w:rPr>
        <w:t xml:space="preserve"> et al, 2013); o análisis macro, alusivos a aspectos culturales, éticos y políticos de la RSE (</w:t>
      </w:r>
      <w:proofErr w:type="spellStart"/>
      <w:r w:rsidRPr="00895E90">
        <w:rPr>
          <w:rFonts w:cs="Times New Roman"/>
          <w:color w:val="000000" w:themeColor="text1"/>
          <w:lang w:val="es-CO"/>
        </w:rPr>
        <w:t>Dartey-Baah</w:t>
      </w:r>
      <w:proofErr w:type="spellEnd"/>
      <w:r w:rsidRPr="00895E90">
        <w:rPr>
          <w:rFonts w:cs="Times New Roman"/>
          <w:color w:val="000000" w:themeColor="text1"/>
          <w:lang w:val="es-CO"/>
        </w:rPr>
        <w:t xml:space="preserve"> &amp; </w:t>
      </w:r>
      <w:proofErr w:type="spellStart"/>
      <w:r w:rsidRPr="00895E90">
        <w:rPr>
          <w:rFonts w:cs="Times New Roman"/>
          <w:color w:val="000000" w:themeColor="text1"/>
          <w:lang w:val="es-CO"/>
        </w:rPr>
        <w:t>Amponsah-Tawiah</w:t>
      </w:r>
      <w:proofErr w:type="spellEnd"/>
      <w:r w:rsidRPr="00895E90">
        <w:rPr>
          <w:rFonts w:cs="Times New Roman"/>
          <w:color w:val="000000" w:themeColor="text1"/>
          <w:lang w:val="es-CO"/>
        </w:rPr>
        <w:t xml:space="preserve">, 2011; </w:t>
      </w:r>
      <w:proofErr w:type="spellStart"/>
      <w:r w:rsidRPr="00895E90">
        <w:rPr>
          <w:rFonts w:cs="Times New Roman"/>
          <w:color w:val="000000" w:themeColor="text1"/>
          <w:lang w:val="es-CO"/>
        </w:rPr>
        <w:t>Fairbras</w:t>
      </w:r>
      <w:proofErr w:type="spellEnd"/>
      <w:r w:rsidRPr="00895E90">
        <w:rPr>
          <w:rFonts w:cs="Times New Roman"/>
          <w:color w:val="000000" w:themeColor="text1"/>
          <w:lang w:val="es-CO"/>
        </w:rPr>
        <w:t xml:space="preserve"> &amp; </w:t>
      </w:r>
      <w:proofErr w:type="spellStart"/>
      <w:r w:rsidRPr="00895E90">
        <w:rPr>
          <w:rFonts w:cs="Times New Roman"/>
          <w:color w:val="000000" w:themeColor="text1"/>
          <w:lang w:val="es-CO"/>
        </w:rPr>
        <w:t>Owens</w:t>
      </w:r>
      <w:proofErr w:type="spellEnd"/>
      <w:r w:rsidRPr="00895E90">
        <w:rPr>
          <w:rFonts w:cs="Times New Roman"/>
          <w:color w:val="000000" w:themeColor="text1"/>
          <w:lang w:val="es-CO"/>
        </w:rPr>
        <w:t xml:space="preserve">, 2012), sin que los unos contemplen el papel de los otros, y viceversa, tanto en el caso de organizaciones privadas como estatales. </w:t>
      </w:r>
    </w:p>
    <w:p w:rsidR="00993183" w:rsidRPr="00895E90" w:rsidRDefault="00993183" w:rsidP="009561DB">
      <w:pPr>
        <w:tabs>
          <w:tab w:val="left" w:pos="939"/>
        </w:tabs>
        <w:spacing w:after="0"/>
        <w:jc w:val="both"/>
        <w:rPr>
          <w:rFonts w:cs="Times New Roman"/>
          <w:color w:val="000000" w:themeColor="text1"/>
          <w:lang w:val="es-CO"/>
        </w:rPr>
      </w:pPr>
    </w:p>
    <w:p w:rsidR="00C220E2" w:rsidRDefault="00DC1464" w:rsidP="009561DB">
      <w:pPr>
        <w:tabs>
          <w:tab w:val="left" w:pos="939"/>
        </w:tabs>
        <w:spacing w:after="0"/>
        <w:jc w:val="both"/>
        <w:rPr>
          <w:rFonts w:cs="Times New Roman"/>
          <w:color w:val="000000" w:themeColor="text1"/>
          <w:lang w:val="es-CO"/>
        </w:rPr>
      </w:pPr>
      <w:r>
        <w:rPr>
          <w:rFonts w:cs="Times New Roman"/>
          <w:color w:val="000000" w:themeColor="text1"/>
          <w:lang w:val="es-CO"/>
        </w:rPr>
        <w:t>E</w:t>
      </w:r>
      <w:r w:rsidR="00895E90" w:rsidRPr="00895E90">
        <w:rPr>
          <w:rFonts w:cs="Times New Roman"/>
          <w:color w:val="000000" w:themeColor="text1"/>
          <w:lang w:val="es-CO"/>
        </w:rPr>
        <w:t xml:space="preserve">l análisis de la responsabilidad social de empresas estatales resulta fundamental, en un momento histórico en el que la visión (neo)liberal del Estado (dominante tras la crisis de los estados de bienestar desde 1970), que asignaba al Estado el rol de simple garante del libre mercado por vía de la privatización de la mayoría de los servicios sociales (Herrera, 2011), ha sido </w:t>
      </w:r>
      <w:r w:rsidR="00C220E2">
        <w:rPr>
          <w:rFonts w:cs="Times New Roman"/>
          <w:color w:val="000000" w:themeColor="text1"/>
          <w:lang w:val="es-CO"/>
        </w:rPr>
        <w:t>cuestionada</w:t>
      </w:r>
      <w:r w:rsidR="00895E90" w:rsidRPr="00895E90">
        <w:rPr>
          <w:rFonts w:cs="Times New Roman"/>
          <w:color w:val="000000" w:themeColor="text1"/>
          <w:lang w:val="es-CO"/>
        </w:rPr>
        <w:t xml:space="preserve"> por los efectos de la crisis financiera de 2007, </w:t>
      </w:r>
      <w:r w:rsidR="00C220E2" w:rsidRPr="004476B9">
        <w:rPr>
          <w:rFonts w:cs="Times New Roman"/>
          <w:color w:val="000000" w:themeColor="text1"/>
          <w:lang w:val="es-CO"/>
        </w:rPr>
        <w:t>el ascenso de China</w:t>
      </w:r>
      <w:r w:rsidR="00C220E2">
        <w:rPr>
          <w:rFonts w:cs="Times New Roman"/>
          <w:color w:val="000000" w:themeColor="text1"/>
          <w:lang w:val="es-CO"/>
        </w:rPr>
        <w:t xml:space="preserve"> y</w:t>
      </w:r>
      <w:r w:rsidR="00C220E2" w:rsidRPr="004476B9">
        <w:rPr>
          <w:rFonts w:cs="Times New Roman"/>
          <w:color w:val="000000" w:themeColor="text1"/>
          <w:lang w:val="es-CO"/>
        </w:rPr>
        <w:t xml:space="preserve"> </w:t>
      </w:r>
      <w:r w:rsidR="00C220E2">
        <w:rPr>
          <w:rFonts w:cs="Times New Roman"/>
          <w:color w:val="000000" w:themeColor="text1"/>
          <w:lang w:val="es-CO"/>
        </w:rPr>
        <w:t xml:space="preserve">Corea del Sur </w:t>
      </w:r>
      <w:r w:rsidR="00C220E2" w:rsidRPr="004476B9">
        <w:rPr>
          <w:rFonts w:cs="Times New Roman"/>
          <w:color w:val="000000" w:themeColor="text1"/>
          <w:lang w:val="es-CO"/>
        </w:rPr>
        <w:t>como potencia</w:t>
      </w:r>
      <w:r w:rsidR="00C220E2">
        <w:rPr>
          <w:rFonts w:cs="Times New Roman"/>
          <w:color w:val="000000" w:themeColor="text1"/>
          <w:lang w:val="es-CO"/>
        </w:rPr>
        <w:t>s</w:t>
      </w:r>
      <w:r w:rsidR="00C220E2" w:rsidRPr="004476B9">
        <w:rPr>
          <w:rFonts w:cs="Times New Roman"/>
          <w:color w:val="000000" w:themeColor="text1"/>
          <w:lang w:val="es-CO"/>
        </w:rPr>
        <w:t xml:space="preserve"> mundial</w:t>
      </w:r>
      <w:r w:rsidR="00C220E2">
        <w:rPr>
          <w:rFonts w:cs="Times New Roman"/>
          <w:color w:val="000000" w:themeColor="text1"/>
          <w:lang w:val="es-CO"/>
        </w:rPr>
        <w:t>es</w:t>
      </w:r>
      <w:r w:rsidR="00C220E2" w:rsidRPr="004476B9">
        <w:rPr>
          <w:rFonts w:cs="Times New Roman"/>
          <w:color w:val="000000" w:themeColor="text1"/>
          <w:lang w:val="es-CO"/>
        </w:rPr>
        <w:t xml:space="preserve"> a través </w:t>
      </w:r>
      <w:r w:rsidR="00C220E2">
        <w:rPr>
          <w:rFonts w:cs="Times New Roman"/>
          <w:color w:val="000000" w:themeColor="text1"/>
          <w:lang w:val="es-CO"/>
        </w:rPr>
        <w:t>de sus</w:t>
      </w:r>
      <w:r w:rsidR="00C220E2" w:rsidRPr="004476B9">
        <w:rPr>
          <w:rFonts w:cs="Times New Roman"/>
          <w:color w:val="000000" w:themeColor="text1"/>
          <w:lang w:val="es-CO"/>
        </w:rPr>
        <w:t xml:space="preserve"> modelo</w:t>
      </w:r>
      <w:r w:rsidR="00C220E2">
        <w:rPr>
          <w:rFonts w:cs="Times New Roman"/>
          <w:color w:val="000000" w:themeColor="text1"/>
          <w:lang w:val="es-CO"/>
        </w:rPr>
        <w:t>s</w:t>
      </w:r>
      <w:r w:rsidR="00C220E2" w:rsidRPr="004476B9">
        <w:rPr>
          <w:rFonts w:cs="Times New Roman"/>
          <w:color w:val="000000" w:themeColor="text1"/>
          <w:lang w:val="es-CO"/>
        </w:rPr>
        <w:t xml:space="preserve"> alternativo</w:t>
      </w:r>
      <w:r w:rsidR="00C220E2">
        <w:rPr>
          <w:rFonts w:cs="Times New Roman"/>
          <w:color w:val="000000" w:themeColor="text1"/>
          <w:lang w:val="es-CO"/>
        </w:rPr>
        <w:t>s</w:t>
      </w:r>
      <w:r w:rsidR="00C220E2" w:rsidRPr="004476B9">
        <w:rPr>
          <w:rFonts w:cs="Times New Roman"/>
          <w:color w:val="000000" w:themeColor="text1"/>
          <w:lang w:val="es-CO"/>
        </w:rPr>
        <w:t xml:space="preserve"> de “capitalismo de Estado”</w:t>
      </w:r>
      <w:r w:rsidR="00C220E2">
        <w:rPr>
          <w:rFonts w:cs="Times New Roman"/>
          <w:color w:val="000000" w:themeColor="text1"/>
          <w:lang w:val="es-CO"/>
        </w:rPr>
        <w:t xml:space="preserve"> y “estado empresarial” –respectivamente-</w:t>
      </w:r>
      <w:r w:rsidR="00C220E2" w:rsidRPr="004476B9">
        <w:rPr>
          <w:rFonts w:cs="Times New Roman"/>
          <w:color w:val="000000" w:themeColor="text1"/>
          <w:lang w:val="es-CO"/>
        </w:rPr>
        <w:t xml:space="preserve">, y el surgimiento de movimientos sociales crecientes que cuestionan el </w:t>
      </w:r>
      <w:r w:rsidR="00C220E2" w:rsidRPr="004476B9">
        <w:rPr>
          <w:rFonts w:cs="Times New Roman"/>
          <w:i/>
          <w:color w:val="000000" w:themeColor="text1"/>
          <w:lang w:val="es-CO"/>
        </w:rPr>
        <w:t>statu quo</w:t>
      </w:r>
      <w:r w:rsidR="00C220E2" w:rsidRPr="004476B9">
        <w:rPr>
          <w:rFonts w:cs="Times New Roman"/>
          <w:color w:val="000000" w:themeColor="text1"/>
          <w:lang w:val="es-CO"/>
        </w:rPr>
        <w:t xml:space="preserve">.  </w:t>
      </w:r>
    </w:p>
    <w:p w:rsidR="00895E90" w:rsidRPr="00895E90" w:rsidRDefault="00895E90" w:rsidP="009561DB">
      <w:pPr>
        <w:tabs>
          <w:tab w:val="left" w:pos="939"/>
        </w:tabs>
        <w:spacing w:after="0"/>
        <w:jc w:val="both"/>
        <w:rPr>
          <w:rFonts w:cs="Times New Roman"/>
          <w:color w:val="000000" w:themeColor="text1"/>
          <w:lang w:val="es-CO"/>
        </w:rPr>
      </w:pPr>
    </w:p>
    <w:p w:rsidR="00895E90" w:rsidRPr="00895E90" w:rsidRDefault="00895E90" w:rsidP="009561DB">
      <w:pPr>
        <w:tabs>
          <w:tab w:val="left" w:pos="939"/>
        </w:tabs>
        <w:spacing w:after="0"/>
        <w:jc w:val="both"/>
        <w:rPr>
          <w:rFonts w:cs="Times New Roman"/>
          <w:color w:val="000000" w:themeColor="text1"/>
          <w:lang w:val="es-CO"/>
        </w:rPr>
      </w:pPr>
      <w:r w:rsidRPr="00895E90">
        <w:rPr>
          <w:rFonts w:cs="Times New Roman"/>
          <w:color w:val="000000" w:themeColor="text1"/>
          <w:lang w:val="es-CO"/>
        </w:rPr>
        <w:t>Bajo la influencia de la cuestionada visión neoliberal, la referencia a las “empresas estatales” solía asociarse a la ineficiencia y a la corrupción (</w:t>
      </w:r>
      <w:proofErr w:type="spellStart"/>
      <w:r w:rsidRPr="00895E90">
        <w:rPr>
          <w:rFonts w:cs="Times New Roman"/>
          <w:color w:val="000000" w:themeColor="text1"/>
          <w:lang w:val="es-CO"/>
        </w:rPr>
        <w:t>Ip</w:t>
      </w:r>
      <w:proofErr w:type="spellEnd"/>
      <w:r w:rsidRPr="00895E90">
        <w:rPr>
          <w:rFonts w:cs="Times New Roman"/>
          <w:color w:val="000000" w:themeColor="text1"/>
          <w:lang w:val="es-CO"/>
        </w:rPr>
        <w:t xml:space="preserve">, 2003). En cambio, desde los campos de la economía y las ciencias políticas, existen conceptualizaciones del Estado (y de las empresas estatales), que derrumban los límites rígidos entre lo público y lo privado, al destacar el papel que puede jugar el Estado, con sus empresas y socios estratégicos, no sólo como ente responsable del cuidado del medio ambiente y del desarrollo social, sino </w:t>
      </w:r>
      <w:r w:rsidRPr="00895E90">
        <w:rPr>
          <w:rFonts w:cs="Times New Roman"/>
          <w:color w:val="000000" w:themeColor="text1"/>
          <w:lang w:val="es-CO"/>
        </w:rPr>
        <w:lastRenderedPageBreak/>
        <w:t>también como generador de nuevos mercados de competencia local y global (</w:t>
      </w:r>
      <w:proofErr w:type="spellStart"/>
      <w:r w:rsidRPr="00895E90">
        <w:rPr>
          <w:rFonts w:cs="Times New Roman"/>
          <w:color w:val="000000" w:themeColor="text1"/>
          <w:lang w:val="es-CO"/>
        </w:rPr>
        <w:t>Mazzucato</w:t>
      </w:r>
      <w:proofErr w:type="spellEnd"/>
      <w:r w:rsidRPr="00895E90">
        <w:rPr>
          <w:rFonts w:cs="Times New Roman"/>
          <w:color w:val="000000" w:themeColor="text1"/>
          <w:lang w:val="es-CO"/>
        </w:rPr>
        <w:t xml:space="preserve">, 2011; 2013; </w:t>
      </w:r>
      <w:proofErr w:type="spellStart"/>
      <w:r w:rsidRPr="00895E90">
        <w:rPr>
          <w:rFonts w:cs="Times New Roman"/>
          <w:color w:val="000000" w:themeColor="text1"/>
          <w:lang w:val="es-CO"/>
        </w:rPr>
        <w:t>Midttun</w:t>
      </w:r>
      <w:proofErr w:type="spellEnd"/>
      <w:r w:rsidRPr="00895E90">
        <w:rPr>
          <w:rFonts w:cs="Times New Roman"/>
          <w:color w:val="000000" w:themeColor="text1"/>
          <w:lang w:val="es-CO"/>
        </w:rPr>
        <w:t xml:space="preserve">, 2005; </w:t>
      </w:r>
      <w:proofErr w:type="spellStart"/>
      <w:r w:rsidRPr="00895E90">
        <w:rPr>
          <w:rFonts w:cs="Times New Roman"/>
          <w:color w:val="000000" w:themeColor="text1"/>
          <w:lang w:val="es-CO"/>
        </w:rPr>
        <w:t>Jessop</w:t>
      </w:r>
      <w:proofErr w:type="spellEnd"/>
      <w:r w:rsidRPr="00895E90">
        <w:rPr>
          <w:rFonts w:cs="Times New Roman"/>
          <w:color w:val="000000" w:themeColor="text1"/>
          <w:lang w:val="es-CO"/>
        </w:rPr>
        <w:t xml:space="preserve">, 2008; </w:t>
      </w:r>
      <w:proofErr w:type="spellStart"/>
      <w:r w:rsidRPr="00895E90">
        <w:rPr>
          <w:rFonts w:cs="Times New Roman"/>
          <w:color w:val="000000" w:themeColor="text1"/>
          <w:lang w:val="es-CO"/>
        </w:rPr>
        <w:t>Ashdown</w:t>
      </w:r>
      <w:proofErr w:type="spellEnd"/>
      <w:r w:rsidRPr="00895E90">
        <w:rPr>
          <w:rFonts w:cs="Times New Roman"/>
          <w:color w:val="000000" w:themeColor="text1"/>
          <w:lang w:val="es-CO"/>
        </w:rPr>
        <w:t>, 1979).</w:t>
      </w:r>
    </w:p>
    <w:p w:rsidR="00895E90" w:rsidRPr="00895E90" w:rsidRDefault="00895E90" w:rsidP="009561DB">
      <w:pPr>
        <w:tabs>
          <w:tab w:val="left" w:pos="939"/>
        </w:tabs>
        <w:spacing w:after="0"/>
        <w:jc w:val="both"/>
        <w:rPr>
          <w:rFonts w:cs="Times New Roman"/>
          <w:color w:val="000000" w:themeColor="text1"/>
          <w:lang w:val="es-CO"/>
        </w:rPr>
      </w:pPr>
    </w:p>
    <w:p w:rsidR="00895E90" w:rsidRDefault="00895E90" w:rsidP="009561DB">
      <w:pPr>
        <w:tabs>
          <w:tab w:val="left" w:pos="939"/>
        </w:tabs>
        <w:spacing w:after="0"/>
        <w:jc w:val="both"/>
        <w:rPr>
          <w:rFonts w:cs="Times New Roman"/>
          <w:color w:val="000000" w:themeColor="text1"/>
          <w:lang w:val="es-CO"/>
        </w:rPr>
      </w:pPr>
      <w:r w:rsidRPr="00895E90">
        <w:rPr>
          <w:rFonts w:cs="Times New Roman"/>
          <w:color w:val="000000" w:themeColor="text1"/>
          <w:lang w:val="es-CO"/>
        </w:rPr>
        <w:t>A primera vista, esta visión del Estado coincide con la experiencia de Empresas Públicas de Medellín (EPM), la segunda empresa más rentable de Colombia en 2012</w:t>
      </w:r>
      <w:r w:rsidRPr="002C3E26">
        <w:rPr>
          <w:rStyle w:val="Refdenotaalpie"/>
          <w:rFonts w:cs="Times New Roman"/>
          <w:color w:val="000000" w:themeColor="text1"/>
        </w:rPr>
        <w:footnoteReference w:id="2"/>
      </w:r>
      <w:r w:rsidRPr="00895E90">
        <w:rPr>
          <w:rFonts w:cs="Times New Roman"/>
          <w:color w:val="000000" w:themeColor="text1"/>
          <w:lang w:val="es-CO"/>
        </w:rPr>
        <w:t>, cuya influencia trasciende las fronteras nacionales y ha sido eje del aumento exponencial del acceso de jóvenes de bajos recursos a la educación superior a través de uno de sus programas de responsabilidad social: Fondo EPM</w:t>
      </w:r>
      <w:r w:rsidRPr="002C3E26">
        <w:rPr>
          <w:rStyle w:val="Refdenotaalpie"/>
          <w:rFonts w:cs="Times New Roman"/>
          <w:color w:val="000000" w:themeColor="text1"/>
        </w:rPr>
        <w:footnoteReference w:id="3"/>
      </w:r>
      <w:r w:rsidRPr="00895E90">
        <w:rPr>
          <w:rFonts w:cs="Times New Roman"/>
          <w:color w:val="000000" w:themeColor="text1"/>
          <w:lang w:val="es-CO"/>
        </w:rPr>
        <w:t>; contradiciendo la tesis (neo)liberal que delega el acceso a la educación a los préstamos bancarios (</w:t>
      </w:r>
      <w:proofErr w:type="spellStart"/>
      <w:r w:rsidRPr="00895E90">
        <w:rPr>
          <w:rFonts w:cs="Times New Roman"/>
          <w:color w:val="000000" w:themeColor="text1"/>
          <w:lang w:val="es-CO"/>
        </w:rPr>
        <w:t>Miñana</w:t>
      </w:r>
      <w:proofErr w:type="spellEnd"/>
      <w:r w:rsidRPr="00895E90">
        <w:rPr>
          <w:rFonts w:cs="Times New Roman"/>
          <w:color w:val="000000" w:themeColor="text1"/>
          <w:lang w:val="es-CO"/>
        </w:rPr>
        <w:t xml:space="preserve"> y Rodríguez, 2003). La labor de EPM, sumada a la de otras empresas estatales de Medellín, motivó en 2013 el reconocimiento de la ciudad como “la más innovadora del mundo”, según </w:t>
      </w:r>
      <w:proofErr w:type="spellStart"/>
      <w:r w:rsidRPr="00895E90">
        <w:rPr>
          <w:rFonts w:cs="Times New Roman"/>
          <w:color w:val="000000" w:themeColor="text1"/>
          <w:lang w:val="es-CO"/>
        </w:rPr>
        <w:t>The</w:t>
      </w:r>
      <w:proofErr w:type="spellEnd"/>
      <w:r w:rsidRPr="00895E90">
        <w:rPr>
          <w:rFonts w:cs="Times New Roman"/>
          <w:color w:val="000000" w:themeColor="text1"/>
          <w:lang w:val="es-CO"/>
        </w:rPr>
        <w:t xml:space="preserve"> Wall Street </w:t>
      </w:r>
      <w:proofErr w:type="spellStart"/>
      <w:r w:rsidRPr="00895E90">
        <w:rPr>
          <w:rFonts w:cs="Times New Roman"/>
          <w:color w:val="000000" w:themeColor="text1"/>
          <w:lang w:val="es-CO"/>
        </w:rPr>
        <w:t>Journal</w:t>
      </w:r>
      <w:proofErr w:type="spellEnd"/>
      <w:r w:rsidRPr="00895E90">
        <w:rPr>
          <w:rFonts w:cs="Times New Roman"/>
          <w:color w:val="000000" w:themeColor="text1"/>
          <w:lang w:val="es-CO"/>
        </w:rPr>
        <w:t xml:space="preserve">, </w:t>
      </w:r>
      <w:proofErr w:type="spellStart"/>
      <w:r w:rsidRPr="00895E90">
        <w:rPr>
          <w:rFonts w:cs="Times New Roman"/>
          <w:color w:val="000000" w:themeColor="text1"/>
          <w:lang w:val="es-CO"/>
        </w:rPr>
        <w:t>Citygroup</w:t>
      </w:r>
      <w:proofErr w:type="spellEnd"/>
      <w:r w:rsidRPr="00895E90">
        <w:rPr>
          <w:rFonts w:cs="Times New Roman"/>
          <w:color w:val="000000" w:themeColor="text1"/>
          <w:lang w:val="es-CO"/>
        </w:rPr>
        <w:t xml:space="preserve"> y </w:t>
      </w:r>
      <w:proofErr w:type="spellStart"/>
      <w:r w:rsidRPr="00895E90">
        <w:rPr>
          <w:rFonts w:cs="Times New Roman"/>
          <w:color w:val="000000" w:themeColor="text1"/>
          <w:lang w:val="es-CO"/>
        </w:rPr>
        <w:t>The</w:t>
      </w:r>
      <w:proofErr w:type="spellEnd"/>
      <w:r w:rsidRPr="00895E90">
        <w:rPr>
          <w:rFonts w:cs="Times New Roman"/>
          <w:color w:val="000000" w:themeColor="text1"/>
          <w:lang w:val="es-CO"/>
        </w:rPr>
        <w:t xml:space="preserve"> </w:t>
      </w:r>
      <w:proofErr w:type="spellStart"/>
      <w:r w:rsidRPr="00895E90">
        <w:rPr>
          <w:rFonts w:cs="Times New Roman"/>
          <w:color w:val="000000" w:themeColor="text1"/>
          <w:lang w:val="es-CO"/>
        </w:rPr>
        <w:t>Urban</w:t>
      </w:r>
      <w:proofErr w:type="spellEnd"/>
      <w:r w:rsidRPr="00895E90">
        <w:rPr>
          <w:rFonts w:cs="Times New Roman"/>
          <w:color w:val="000000" w:themeColor="text1"/>
          <w:lang w:val="es-CO"/>
        </w:rPr>
        <w:t xml:space="preserve"> </w:t>
      </w:r>
      <w:proofErr w:type="spellStart"/>
      <w:r w:rsidRPr="00895E90">
        <w:rPr>
          <w:rFonts w:cs="Times New Roman"/>
          <w:color w:val="000000" w:themeColor="text1"/>
          <w:lang w:val="es-CO"/>
        </w:rPr>
        <w:t>Land</w:t>
      </w:r>
      <w:proofErr w:type="spellEnd"/>
      <w:r w:rsidRPr="00895E90">
        <w:rPr>
          <w:rFonts w:cs="Times New Roman"/>
          <w:color w:val="000000" w:themeColor="text1"/>
          <w:lang w:val="es-CO"/>
        </w:rPr>
        <w:t xml:space="preserve"> </w:t>
      </w:r>
      <w:proofErr w:type="spellStart"/>
      <w:r w:rsidRPr="00895E90">
        <w:rPr>
          <w:rFonts w:cs="Times New Roman"/>
          <w:color w:val="000000" w:themeColor="text1"/>
          <w:lang w:val="es-CO"/>
        </w:rPr>
        <w:t>Institute</w:t>
      </w:r>
      <w:proofErr w:type="spellEnd"/>
      <w:r w:rsidRPr="002C3E26">
        <w:rPr>
          <w:rStyle w:val="Refdenotaalpie"/>
          <w:rFonts w:cs="Times New Roman"/>
          <w:color w:val="000000" w:themeColor="text1"/>
        </w:rPr>
        <w:footnoteReference w:id="4"/>
      </w:r>
      <w:r w:rsidRPr="00895E90">
        <w:rPr>
          <w:rFonts w:cs="Times New Roman"/>
          <w:color w:val="000000" w:themeColor="text1"/>
          <w:lang w:val="es-CO"/>
        </w:rPr>
        <w:t>, quienes destacan a EPM como motor del desarrollo social antioqueño y colombiano.</w:t>
      </w:r>
    </w:p>
    <w:p w:rsidR="00CF2652" w:rsidRPr="00895E90" w:rsidRDefault="00CF2652" w:rsidP="009561DB">
      <w:pPr>
        <w:tabs>
          <w:tab w:val="left" w:pos="939"/>
        </w:tabs>
        <w:spacing w:after="0"/>
        <w:jc w:val="both"/>
        <w:rPr>
          <w:rFonts w:cs="Times New Roman"/>
          <w:color w:val="000000" w:themeColor="text1"/>
          <w:lang w:val="es-CO"/>
        </w:rPr>
      </w:pPr>
    </w:p>
    <w:p w:rsidR="00895E90" w:rsidRPr="00895E90" w:rsidRDefault="00895E90" w:rsidP="009561DB">
      <w:pPr>
        <w:tabs>
          <w:tab w:val="left" w:pos="939"/>
        </w:tabs>
        <w:spacing w:after="0"/>
        <w:jc w:val="both"/>
        <w:rPr>
          <w:rFonts w:cs="Times New Roman"/>
          <w:color w:val="000000" w:themeColor="text1"/>
          <w:lang w:val="es-CO"/>
        </w:rPr>
      </w:pPr>
      <w:r w:rsidRPr="00895E90">
        <w:rPr>
          <w:rFonts w:cs="Times New Roman"/>
          <w:color w:val="000000" w:themeColor="text1"/>
          <w:lang w:val="es-CO"/>
        </w:rPr>
        <w:t xml:space="preserve">Sin embargo, recientemente ha sido objeto de polémica la decisión tomada por el Concejo de Medellín (que opera como Junta Directiva de EPM, presidida por el Alcalde Mayor) respecto a la venta parcial de una de sus principales filiales, UNE-Telecomunicaciones, a la empresa privada sueca </w:t>
      </w:r>
      <w:proofErr w:type="spellStart"/>
      <w:r w:rsidRPr="00895E90">
        <w:rPr>
          <w:rFonts w:cs="Times New Roman"/>
          <w:color w:val="000000" w:themeColor="text1"/>
          <w:lang w:val="es-CO"/>
        </w:rPr>
        <w:t>Millicom</w:t>
      </w:r>
      <w:proofErr w:type="spellEnd"/>
      <w:r w:rsidRPr="00895E90">
        <w:rPr>
          <w:rFonts w:cs="Times New Roman"/>
          <w:color w:val="000000" w:themeColor="text1"/>
          <w:lang w:val="es-CO"/>
        </w:rPr>
        <w:t>. En este marco, en la presente investigación se propone indagar teórica y empíricamente, alrededor de tres preguntas centrales: 1. ¿Por qué una empresa estatal de un país de economía emergente, que asume servicios sociales adicionales a su objeto social (generación de agua y energía) como la promoción del acceso a la educación, al mismo tiempo recurre a la venta parcial de una de sus principales filiales (UNE-Telecomunicaciones) a una empresa privada extranjera? 2. ¿Cómo puede explicarse este fenómeno desde una conceptualización integral que aborde las dimensiones éticas, políticas, económicas y culturales de la responsabilidad social de empresas estatales? 3. ¿Qué tipo de relación entre los negocios, el Estado y la sociedad subyace a la actuación de EPM?</w:t>
      </w:r>
    </w:p>
    <w:p w:rsidR="00312025" w:rsidRPr="001B3EA2" w:rsidRDefault="00312025" w:rsidP="009561DB">
      <w:pPr>
        <w:tabs>
          <w:tab w:val="left" w:pos="939"/>
        </w:tabs>
        <w:spacing w:after="0"/>
        <w:jc w:val="both"/>
        <w:rPr>
          <w:rFonts w:cs="Times New Roman"/>
          <w:color w:val="000000" w:themeColor="text1"/>
          <w:lang w:val="es-CO"/>
        </w:rPr>
      </w:pPr>
    </w:p>
    <w:p w:rsidR="002317AF" w:rsidRPr="001B3EA2" w:rsidRDefault="00D64F51" w:rsidP="009561DB">
      <w:pPr>
        <w:spacing w:after="0"/>
        <w:jc w:val="center"/>
        <w:rPr>
          <w:rFonts w:cs="Times New Roman"/>
          <w:b/>
          <w:color w:val="000000" w:themeColor="text1"/>
          <w:lang w:val="es-CO"/>
        </w:rPr>
      </w:pPr>
      <w:r>
        <w:rPr>
          <w:rFonts w:cs="Times New Roman"/>
          <w:b/>
          <w:color w:val="000000" w:themeColor="text1"/>
          <w:lang w:val="es-CO"/>
        </w:rPr>
        <w:t>Antecedentes</w:t>
      </w:r>
    </w:p>
    <w:p w:rsidR="00322E5B" w:rsidRPr="001B3EA2" w:rsidRDefault="00322E5B" w:rsidP="009561DB">
      <w:pPr>
        <w:spacing w:after="0"/>
        <w:jc w:val="both"/>
        <w:rPr>
          <w:rFonts w:cs="Times New Roman"/>
          <w:color w:val="000000" w:themeColor="text1"/>
          <w:lang w:val="es-CO"/>
        </w:rPr>
      </w:pPr>
      <w:r w:rsidRPr="001B3EA2">
        <w:rPr>
          <w:rFonts w:cs="Times New Roman"/>
          <w:color w:val="000000" w:themeColor="text1"/>
          <w:lang w:val="es-CO"/>
        </w:rPr>
        <w:t>La investigación realizada en un ca</w:t>
      </w:r>
      <w:r w:rsidR="00894679" w:rsidRPr="001B3EA2">
        <w:rPr>
          <w:rFonts w:cs="Times New Roman"/>
          <w:color w:val="000000" w:themeColor="text1"/>
          <w:lang w:val="es-CO"/>
        </w:rPr>
        <w:t>mpo d</w:t>
      </w:r>
      <w:r w:rsidR="00816120" w:rsidRPr="001B3EA2">
        <w:rPr>
          <w:rFonts w:cs="Times New Roman"/>
          <w:color w:val="000000" w:themeColor="text1"/>
          <w:lang w:val="es-CO"/>
        </w:rPr>
        <w:t>e</w:t>
      </w:r>
      <w:r w:rsidR="00894679" w:rsidRPr="001B3EA2">
        <w:rPr>
          <w:rFonts w:cs="Times New Roman"/>
          <w:color w:val="000000" w:themeColor="text1"/>
          <w:lang w:val="es-CO"/>
        </w:rPr>
        <w:t xml:space="preserve"> conocimiento</w:t>
      </w:r>
      <w:r w:rsidR="00537D27" w:rsidRPr="001B3EA2">
        <w:rPr>
          <w:rFonts w:cs="Times New Roman"/>
          <w:color w:val="000000" w:themeColor="text1"/>
          <w:lang w:val="es-CO"/>
        </w:rPr>
        <w:t xml:space="preserve"> </w:t>
      </w:r>
      <w:r w:rsidR="00B62327" w:rsidRPr="001B3EA2">
        <w:rPr>
          <w:rFonts w:cs="Times New Roman"/>
          <w:color w:val="000000" w:themeColor="text1"/>
          <w:lang w:val="es-CO"/>
        </w:rPr>
        <w:t>suele</w:t>
      </w:r>
      <w:r w:rsidR="000E152A" w:rsidRPr="001B3EA2">
        <w:rPr>
          <w:rFonts w:cs="Times New Roman"/>
          <w:color w:val="000000" w:themeColor="text1"/>
          <w:lang w:val="es-CO"/>
        </w:rPr>
        <w:t xml:space="preserve"> </w:t>
      </w:r>
      <w:r w:rsidR="00C220E2">
        <w:rPr>
          <w:rFonts w:cs="Times New Roman"/>
          <w:color w:val="000000" w:themeColor="text1"/>
          <w:lang w:val="es-CO"/>
        </w:rPr>
        <w:t>apoyarse en</w:t>
      </w:r>
      <w:r w:rsidR="00894679" w:rsidRPr="001B3EA2">
        <w:rPr>
          <w:rFonts w:cs="Times New Roman"/>
          <w:color w:val="000000" w:themeColor="text1"/>
          <w:lang w:val="es-CO"/>
        </w:rPr>
        <w:t xml:space="preserve"> tipología</w:t>
      </w:r>
      <w:r w:rsidR="00C220E2">
        <w:rPr>
          <w:rFonts w:cs="Times New Roman"/>
          <w:color w:val="000000" w:themeColor="text1"/>
          <w:lang w:val="es-CO"/>
        </w:rPr>
        <w:t>s</w:t>
      </w:r>
      <w:r w:rsidR="00894679" w:rsidRPr="001B3EA2">
        <w:rPr>
          <w:rFonts w:cs="Times New Roman"/>
          <w:color w:val="000000" w:themeColor="text1"/>
          <w:lang w:val="es-CO"/>
        </w:rPr>
        <w:t xml:space="preserve"> –cuya funció</w:t>
      </w:r>
      <w:r w:rsidR="00C220E2">
        <w:rPr>
          <w:rFonts w:cs="Times New Roman"/>
          <w:color w:val="000000" w:themeColor="text1"/>
          <w:lang w:val="es-CO"/>
        </w:rPr>
        <w:t>n es clasificar información-,</w:t>
      </w:r>
      <w:r w:rsidR="00894679" w:rsidRPr="001B3EA2">
        <w:rPr>
          <w:rFonts w:cs="Times New Roman"/>
          <w:color w:val="000000" w:themeColor="text1"/>
          <w:lang w:val="es-CO"/>
        </w:rPr>
        <w:t xml:space="preserve"> modelo</w:t>
      </w:r>
      <w:r w:rsidR="00C220E2">
        <w:rPr>
          <w:rFonts w:cs="Times New Roman"/>
          <w:color w:val="000000" w:themeColor="text1"/>
          <w:lang w:val="es-CO"/>
        </w:rPr>
        <w:t>s</w:t>
      </w:r>
      <w:r w:rsidR="00894679" w:rsidRPr="001B3EA2">
        <w:rPr>
          <w:rFonts w:cs="Times New Roman"/>
          <w:color w:val="000000" w:themeColor="text1"/>
          <w:lang w:val="es-CO"/>
        </w:rPr>
        <w:t xml:space="preserve"> –que además de la clasificación permite</w:t>
      </w:r>
      <w:r w:rsidR="00C220E2">
        <w:rPr>
          <w:rFonts w:cs="Times New Roman"/>
          <w:color w:val="000000" w:themeColor="text1"/>
          <w:lang w:val="es-CO"/>
        </w:rPr>
        <w:t>n</w:t>
      </w:r>
      <w:r w:rsidR="00894679" w:rsidRPr="001B3EA2">
        <w:rPr>
          <w:rFonts w:cs="Times New Roman"/>
          <w:color w:val="000000" w:themeColor="text1"/>
          <w:lang w:val="es-CO"/>
        </w:rPr>
        <w:t xml:space="preserve"> </w:t>
      </w:r>
      <w:r w:rsidR="00537D27" w:rsidRPr="001B3EA2">
        <w:rPr>
          <w:rFonts w:cs="Times New Roman"/>
          <w:color w:val="000000" w:themeColor="text1"/>
          <w:lang w:val="es-CO"/>
        </w:rPr>
        <w:t>abstraer de forma simplificada relaciones complejas exis</w:t>
      </w:r>
      <w:r w:rsidR="00C220E2">
        <w:rPr>
          <w:rFonts w:cs="Times New Roman"/>
          <w:color w:val="000000" w:themeColor="text1"/>
          <w:lang w:val="es-CO"/>
        </w:rPr>
        <w:t>tentes en el mundo social- o</w:t>
      </w:r>
      <w:r w:rsidR="00537D27" w:rsidRPr="001B3EA2">
        <w:rPr>
          <w:rFonts w:cs="Times New Roman"/>
          <w:color w:val="000000" w:themeColor="text1"/>
          <w:lang w:val="es-CO"/>
        </w:rPr>
        <w:t xml:space="preserve"> teoría</w:t>
      </w:r>
      <w:r w:rsidR="00C220E2">
        <w:rPr>
          <w:rFonts w:cs="Times New Roman"/>
          <w:color w:val="000000" w:themeColor="text1"/>
          <w:lang w:val="es-CO"/>
        </w:rPr>
        <w:t>s</w:t>
      </w:r>
      <w:r w:rsidR="00537D27" w:rsidRPr="001B3EA2">
        <w:rPr>
          <w:rFonts w:cs="Times New Roman"/>
          <w:color w:val="000000" w:themeColor="text1"/>
          <w:lang w:val="es-CO"/>
        </w:rPr>
        <w:t xml:space="preserve"> –que aparte de las funciones anteriores permite</w:t>
      </w:r>
      <w:r w:rsidR="00C220E2">
        <w:rPr>
          <w:rFonts w:cs="Times New Roman"/>
          <w:color w:val="000000" w:themeColor="text1"/>
          <w:lang w:val="es-CO"/>
        </w:rPr>
        <w:t>n explicar e interpretar los</w:t>
      </w:r>
      <w:r w:rsidR="00537D27" w:rsidRPr="001B3EA2">
        <w:rPr>
          <w:rFonts w:cs="Times New Roman"/>
          <w:color w:val="000000" w:themeColor="text1"/>
          <w:lang w:val="es-CO"/>
        </w:rPr>
        <w:t xml:space="preserve"> fenómeno</w:t>
      </w:r>
      <w:r w:rsidR="00C220E2">
        <w:rPr>
          <w:rFonts w:cs="Times New Roman"/>
          <w:color w:val="000000" w:themeColor="text1"/>
          <w:lang w:val="es-CO"/>
        </w:rPr>
        <w:t>s</w:t>
      </w:r>
      <w:r w:rsidR="00537D27" w:rsidRPr="001B3EA2">
        <w:rPr>
          <w:rFonts w:cs="Times New Roman"/>
          <w:color w:val="000000" w:themeColor="text1"/>
          <w:lang w:val="es-CO"/>
        </w:rPr>
        <w:t xml:space="preserve"> bajo estudio. Algunos autores conciben estas tres funciones como sustratos graduales</w:t>
      </w:r>
      <w:r w:rsidR="0022156D" w:rsidRPr="001B3EA2">
        <w:rPr>
          <w:rFonts w:cs="Times New Roman"/>
          <w:color w:val="000000" w:themeColor="text1"/>
          <w:lang w:val="es-CO"/>
        </w:rPr>
        <w:t xml:space="preserve"> que en conjunto componen una “estructura conceptual”</w:t>
      </w:r>
      <w:r w:rsidR="00537D27" w:rsidRPr="001B3EA2">
        <w:rPr>
          <w:rFonts w:cs="Times New Roman"/>
          <w:color w:val="000000" w:themeColor="text1"/>
          <w:lang w:val="es-CO"/>
        </w:rPr>
        <w:t>; entre más se logre llegar a</w:t>
      </w:r>
      <w:r w:rsidR="00816120" w:rsidRPr="001B3EA2">
        <w:rPr>
          <w:rFonts w:cs="Times New Roman"/>
          <w:color w:val="000000" w:themeColor="text1"/>
          <w:lang w:val="es-CO"/>
        </w:rPr>
        <w:t>l tercer sustrato</w:t>
      </w:r>
      <w:r w:rsidR="00537D27" w:rsidRPr="001B3EA2">
        <w:rPr>
          <w:rFonts w:cs="Times New Roman"/>
          <w:color w:val="000000" w:themeColor="text1"/>
          <w:lang w:val="es-CO"/>
        </w:rPr>
        <w:t xml:space="preserve"> (función teórica), más consolidado se encuentra el campo de conocimiento respectivo</w:t>
      </w:r>
      <w:r w:rsidR="00816120" w:rsidRPr="001B3EA2">
        <w:rPr>
          <w:rFonts w:cs="Times New Roman"/>
          <w:color w:val="000000" w:themeColor="text1"/>
          <w:lang w:val="es-CO"/>
        </w:rPr>
        <w:t xml:space="preserve"> </w:t>
      </w:r>
      <w:proofErr w:type="spellStart"/>
      <w:r w:rsidR="00816120" w:rsidRPr="001B3EA2">
        <w:rPr>
          <w:rFonts w:cs="Times New Roman"/>
          <w:color w:val="000000" w:themeColor="text1"/>
          <w:lang w:val="es-CO"/>
        </w:rPr>
        <w:t>Mouton</w:t>
      </w:r>
      <w:proofErr w:type="spellEnd"/>
      <w:r w:rsidR="00816120" w:rsidRPr="001B3EA2">
        <w:rPr>
          <w:rFonts w:cs="Times New Roman"/>
          <w:color w:val="000000" w:themeColor="text1"/>
          <w:lang w:val="es-CO"/>
        </w:rPr>
        <w:t xml:space="preserve"> &amp; </w:t>
      </w:r>
      <w:proofErr w:type="spellStart"/>
      <w:r w:rsidR="00816120" w:rsidRPr="001B3EA2">
        <w:rPr>
          <w:rFonts w:cs="Times New Roman"/>
          <w:color w:val="000000" w:themeColor="text1"/>
          <w:lang w:val="es-CO"/>
        </w:rPr>
        <w:t>Marais</w:t>
      </w:r>
      <w:proofErr w:type="spellEnd"/>
      <w:r w:rsidR="00816120" w:rsidRPr="001B3EA2">
        <w:rPr>
          <w:rFonts w:cs="Times New Roman"/>
          <w:color w:val="000000" w:themeColor="text1"/>
          <w:lang w:val="es-CO"/>
        </w:rPr>
        <w:t xml:space="preserve"> (1990: 144)</w:t>
      </w:r>
      <w:r w:rsidR="00537D27" w:rsidRPr="001B3EA2">
        <w:rPr>
          <w:rFonts w:cs="Times New Roman"/>
          <w:color w:val="000000" w:themeColor="text1"/>
          <w:lang w:val="es-CO"/>
        </w:rPr>
        <w:t xml:space="preserve">. </w:t>
      </w:r>
    </w:p>
    <w:p w:rsidR="00537D27" w:rsidRPr="001B3EA2" w:rsidRDefault="00537D27" w:rsidP="009561DB">
      <w:pPr>
        <w:spacing w:after="0"/>
        <w:jc w:val="both"/>
        <w:rPr>
          <w:rFonts w:cs="Times New Roman"/>
          <w:color w:val="000000" w:themeColor="text1"/>
          <w:lang w:val="es-CO"/>
        </w:rPr>
      </w:pPr>
    </w:p>
    <w:p w:rsidR="00C220E2" w:rsidRDefault="00C220E2" w:rsidP="009561DB">
      <w:pPr>
        <w:spacing w:after="0"/>
        <w:jc w:val="both"/>
        <w:rPr>
          <w:rFonts w:cs="Times New Roman"/>
          <w:color w:val="000000" w:themeColor="text1"/>
          <w:u w:val="single"/>
          <w:lang w:val="es-CO"/>
        </w:rPr>
      </w:pPr>
    </w:p>
    <w:p w:rsidR="00C220E2" w:rsidRDefault="00C220E2" w:rsidP="009561DB">
      <w:pPr>
        <w:spacing w:after="0"/>
        <w:jc w:val="both"/>
        <w:rPr>
          <w:rFonts w:cs="Times New Roman"/>
          <w:color w:val="000000" w:themeColor="text1"/>
          <w:u w:val="single"/>
          <w:lang w:val="es-CO"/>
        </w:rPr>
      </w:pPr>
    </w:p>
    <w:p w:rsidR="00C220E2" w:rsidRDefault="00C220E2" w:rsidP="009561DB">
      <w:pPr>
        <w:spacing w:after="0"/>
        <w:jc w:val="both"/>
        <w:rPr>
          <w:rFonts w:cs="Times New Roman"/>
          <w:color w:val="000000" w:themeColor="text1"/>
          <w:u w:val="single"/>
          <w:lang w:val="es-CO"/>
        </w:rPr>
      </w:pPr>
    </w:p>
    <w:p w:rsidR="00C220E2" w:rsidRDefault="00C220E2" w:rsidP="009561DB">
      <w:pPr>
        <w:spacing w:after="0"/>
        <w:jc w:val="both"/>
        <w:rPr>
          <w:rFonts w:cs="Times New Roman"/>
          <w:color w:val="000000" w:themeColor="text1"/>
          <w:u w:val="single"/>
          <w:lang w:val="es-CO"/>
        </w:rPr>
      </w:pPr>
    </w:p>
    <w:p w:rsidR="00D01A96" w:rsidRPr="001B3EA2" w:rsidRDefault="00CF2652" w:rsidP="009561DB">
      <w:pPr>
        <w:spacing w:after="0"/>
        <w:jc w:val="both"/>
        <w:rPr>
          <w:rFonts w:cs="Times New Roman"/>
          <w:color w:val="000000" w:themeColor="text1"/>
          <w:u w:val="single"/>
          <w:lang w:val="es-CO"/>
        </w:rPr>
      </w:pPr>
      <w:r>
        <w:rPr>
          <w:rFonts w:cs="Times New Roman"/>
          <w:color w:val="000000" w:themeColor="text1"/>
          <w:u w:val="single"/>
          <w:lang w:val="es-CO"/>
        </w:rPr>
        <w:lastRenderedPageBreak/>
        <w:t xml:space="preserve">Tabla 1. </w:t>
      </w:r>
      <w:r w:rsidR="006F2284" w:rsidRPr="001B3EA2">
        <w:rPr>
          <w:rFonts w:cs="Times New Roman"/>
          <w:color w:val="000000" w:themeColor="text1"/>
          <w:u w:val="single"/>
          <w:lang w:val="es-CO"/>
        </w:rPr>
        <w:t>Niveles</w:t>
      </w:r>
      <w:r w:rsidR="00D01A96" w:rsidRPr="001B3EA2">
        <w:rPr>
          <w:rFonts w:cs="Times New Roman"/>
          <w:color w:val="000000" w:themeColor="text1"/>
          <w:u w:val="single"/>
          <w:lang w:val="es-CO"/>
        </w:rPr>
        <w:t xml:space="preserve"> </w:t>
      </w:r>
      <w:r w:rsidR="006F2284" w:rsidRPr="001B3EA2">
        <w:rPr>
          <w:rFonts w:cs="Times New Roman"/>
          <w:color w:val="000000" w:themeColor="text1"/>
          <w:u w:val="single"/>
          <w:lang w:val="es-CO"/>
        </w:rPr>
        <w:t xml:space="preserve">de una estructura conceptual </w:t>
      </w:r>
    </w:p>
    <w:tbl>
      <w:tblPr>
        <w:tblStyle w:val="Tablaconcuadrcula"/>
        <w:tblW w:w="0" w:type="auto"/>
        <w:tblLook w:val="04A0" w:firstRow="1" w:lastRow="0" w:firstColumn="1" w:lastColumn="0" w:noHBand="0" w:noVBand="1"/>
      </w:tblPr>
      <w:tblGrid>
        <w:gridCol w:w="1951"/>
        <w:gridCol w:w="2410"/>
        <w:gridCol w:w="1483"/>
        <w:gridCol w:w="3210"/>
      </w:tblGrid>
      <w:tr w:rsidR="001B3EA2" w:rsidRPr="001B3EA2" w:rsidTr="006442A4">
        <w:tc>
          <w:tcPr>
            <w:tcW w:w="1951" w:type="dxa"/>
          </w:tcPr>
          <w:p w:rsidR="00D01A96" w:rsidRPr="001B3EA2" w:rsidRDefault="00D01A96" w:rsidP="009561DB">
            <w:pPr>
              <w:jc w:val="both"/>
              <w:rPr>
                <w:rFonts w:cs="Times New Roman"/>
                <w:b/>
                <w:color w:val="000000" w:themeColor="text1"/>
                <w:lang w:val="es-CO"/>
              </w:rPr>
            </w:pPr>
            <w:r w:rsidRPr="001B3EA2">
              <w:rPr>
                <w:rFonts w:cs="Times New Roman"/>
                <w:b/>
                <w:color w:val="000000" w:themeColor="text1"/>
                <w:lang w:val="es-CO"/>
              </w:rPr>
              <w:t>Nivel conceptual</w:t>
            </w:r>
          </w:p>
        </w:tc>
        <w:tc>
          <w:tcPr>
            <w:tcW w:w="2410" w:type="dxa"/>
          </w:tcPr>
          <w:p w:rsidR="00D01A96" w:rsidRPr="001B3EA2" w:rsidRDefault="00D01A96" w:rsidP="009561DB">
            <w:pPr>
              <w:jc w:val="center"/>
              <w:rPr>
                <w:rFonts w:cs="Times New Roman"/>
                <w:i/>
                <w:color w:val="000000" w:themeColor="text1"/>
                <w:lang w:val="es-CO"/>
              </w:rPr>
            </w:pPr>
            <w:r w:rsidRPr="001B3EA2">
              <w:rPr>
                <w:rFonts w:cs="Times New Roman"/>
                <w:i/>
                <w:color w:val="000000" w:themeColor="text1"/>
                <w:lang w:val="es-CO"/>
              </w:rPr>
              <w:t>Tipología</w:t>
            </w:r>
          </w:p>
        </w:tc>
        <w:tc>
          <w:tcPr>
            <w:tcW w:w="1483" w:type="dxa"/>
          </w:tcPr>
          <w:p w:rsidR="00D01A96" w:rsidRPr="001B3EA2" w:rsidRDefault="00D01A96" w:rsidP="009561DB">
            <w:pPr>
              <w:jc w:val="center"/>
              <w:rPr>
                <w:rFonts w:cs="Times New Roman"/>
                <w:i/>
                <w:color w:val="000000" w:themeColor="text1"/>
                <w:lang w:val="es-CO"/>
              </w:rPr>
            </w:pPr>
            <w:r w:rsidRPr="001B3EA2">
              <w:rPr>
                <w:rFonts w:cs="Times New Roman"/>
                <w:i/>
                <w:color w:val="000000" w:themeColor="text1"/>
                <w:lang w:val="es-CO"/>
              </w:rPr>
              <w:t>Modelo</w:t>
            </w:r>
          </w:p>
        </w:tc>
        <w:tc>
          <w:tcPr>
            <w:tcW w:w="3210" w:type="dxa"/>
          </w:tcPr>
          <w:p w:rsidR="00D01A96" w:rsidRPr="001B3EA2" w:rsidRDefault="00D01A96" w:rsidP="009561DB">
            <w:pPr>
              <w:jc w:val="center"/>
              <w:rPr>
                <w:rFonts w:cs="Times New Roman"/>
                <w:i/>
                <w:color w:val="000000" w:themeColor="text1"/>
                <w:lang w:val="es-CO"/>
              </w:rPr>
            </w:pPr>
            <w:r w:rsidRPr="001B3EA2">
              <w:rPr>
                <w:rFonts w:cs="Times New Roman"/>
                <w:i/>
                <w:color w:val="000000" w:themeColor="text1"/>
                <w:lang w:val="es-CO"/>
              </w:rPr>
              <w:t>Teoría</w:t>
            </w:r>
          </w:p>
        </w:tc>
      </w:tr>
      <w:tr w:rsidR="001B3EA2" w:rsidRPr="001B3EA2" w:rsidTr="006442A4">
        <w:tc>
          <w:tcPr>
            <w:tcW w:w="1951" w:type="dxa"/>
            <w:vMerge w:val="restart"/>
          </w:tcPr>
          <w:p w:rsidR="00B62327" w:rsidRPr="001B3EA2" w:rsidRDefault="00B62327" w:rsidP="009561DB">
            <w:pPr>
              <w:jc w:val="center"/>
              <w:rPr>
                <w:rFonts w:cs="Times New Roman"/>
                <w:b/>
                <w:color w:val="000000" w:themeColor="text1"/>
                <w:lang w:val="es-CO"/>
              </w:rPr>
            </w:pPr>
          </w:p>
          <w:p w:rsidR="00B62327" w:rsidRPr="001B3EA2" w:rsidRDefault="00B62327" w:rsidP="009561DB">
            <w:pPr>
              <w:jc w:val="center"/>
              <w:rPr>
                <w:rFonts w:cs="Times New Roman"/>
                <w:b/>
                <w:color w:val="000000" w:themeColor="text1"/>
                <w:lang w:val="es-CO"/>
              </w:rPr>
            </w:pPr>
          </w:p>
          <w:p w:rsidR="00D01A96" w:rsidRPr="001B3EA2" w:rsidRDefault="00D01A96" w:rsidP="009561DB">
            <w:pPr>
              <w:jc w:val="center"/>
              <w:rPr>
                <w:rFonts w:cs="Times New Roman"/>
                <w:b/>
                <w:color w:val="000000" w:themeColor="text1"/>
                <w:lang w:val="es-CO"/>
              </w:rPr>
            </w:pPr>
            <w:r w:rsidRPr="001B3EA2">
              <w:rPr>
                <w:rFonts w:cs="Times New Roman"/>
                <w:b/>
                <w:color w:val="000000" w:themeColor="text1"/>
                <w:lang w:val="es-CO"/>
              </w:rPr>
              <w:t>Función</w:t>
            </w:r>
          </w:p>
          <w:p w:rsidR="00D01A96" w:rsidRPr="001B3EA2" w:rsidRDefault="00D01A96" w:rsidP="009561DB">
            <w:pPr>
              <w:jc w:val="center"/>
              <w:rPr>
                <w:rFonts w:cs="Times New Roman"/>
                <w:color w:val="000000" w:themeColor="text1"/>
                <w:lang w:val="es-CO"/>
              </w:rPr>
            </w:pPr>
            <w:r w:rsidRPr="001B3EA2">
              <w:rPr>
                <w:rFonts w:cs="Times New Roman"/>
                <w:color w:val="000000" w:themeColor="text1"/>
                <w:lang w:val="es-CO"/>
              </w:rPr>
              <w:t xml:space="preserve">(funciones diferenciadoras en </w:t>
            </w:r>
            <w:r w:rsidR="003B0FD0" w:rsidRPr="001B3EA2">
              <w:rPr>
                <w:rFonts w:cs="Times New Roman"/>
                <w:color w:val="000000" w:themeColor="text1"/>
                <w:lang w:val="es-CO"/>
              </w:rPr>
              <w:t>negrillas</w:t>
            </w:r>
            <w:r w:rsidRPr="001B3EA2">
              <w:rPr>
                <w:rFonts w:cs="Times New Roman"/>
                <w:color w:val="000000" w:themeColor="text1"/>
                <w:lang w:val="es-CO"/>
              </w:rPr>
              <w:t>)</w:t>
            </w:r>
          </w:p>
        </w:tc>
        <w:tc>
          <w:tcPr>
            <w:tcW w:w="2410" w:type="dxa"/>
            <w:vMerge w:val="restart"/>
          </w:tcPr>
          <w:p w:rsidR="00D01A96" w:rsidRPr="001B3EA2" w:rsidRDefault="00A9115A" w:rsidP="009561DB">
            <w:pPr>
              <w:jc w:val="center"/>
              <w:rPr>
                <w:rFonts w:cs="Times New Roman"/>
                <w:color w:val="000000" w:themeColor="text1"/>
                <w:lang w:val="es-CO"/>
              </w:rPr>
            </w:pPr>
            <w:r w:rsidRPr="001B3EA2">
              <w:rPr>
                <w:rFonts w:cs="Times New Roman"/>
                <w:noProof/>
                <w:color w:val="000000" w:themeColor="text1"/>
                <w:lang w:val="es-CO" w:eastAsia="es-CO"/>
              </w:rPr>
              <mc:AlternateContent>
                <mc:Choice Requires="wps">
                  <w:drawing>
                    <wp:anchor distT="0" distB="0" distL="114300" distR="114300" simplePos="0" relativeHeight="251659264" behindDoc="0" locked="0" layoutInCell="1" allowOverlap="1" wp14:anchorId="355E739F" wp14:editId="038675BB">
                      <wp:simplePos x="0" y="0"/>
                      <wp:positionH relativeFrom="column">
                        <wp:posOffset>633730</wp:posOffset>
                      </wp:positionH>
                      <wp:positionV relativeFrom="paragraph">
                        <wp:posOffset>107950</wp:posOffset>
                      </wp:positionV>
                      <wp:extent cx="2447925" cy="781050"/>
                      <wp:effectExtent l="0" t="57150" r="0" b="19050"/>
                      <wp:wrapNone/>
                      <wp:docPr id="2" name="2 Conector recto de flecha"/>
                      <wp:cNvGraphicFramePr/>
                      <a:graphic xmlns:a="http://schemas.openxmlformats.org/drawingml/2006/main">
                        <a:graphicData uri="http://schemas.microsoft.com/office/word/2010/wordprocessingShape">
                          <wps:wsp>
                            <wps:cNvCnPr/>
                            <wps:spPr>
                              <a:xfrm flipV="1">
                                <a:off x="0" y="0"/>
                                <a:ext cx="2447925" cy="7810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49.9pt;margin-top:8.5pt;width:192.75pt;height:6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" strokecolor="black [3213]" strokeweight="2pt">
                      <v:stroke endarrow="open"/>
                    </v:shape>
                  </w:pict>
                </mc:Fallback>
              </mc:AlternateContent>
            </w:r>
          </w:p>
        </w:tc>
        <w:tc>
          <w:tcPr>
            <w:tcW w:w="1483" w:type="dxa"/>
          </w:tcPr>
          <w:p w:rsidR="00D01A96" w:rsidRPr="001B3EA2" w:rsidRDefault="00D01A96" w:rsidP="009561DB">
            <w:pPr>
              <w:jc w:val="center"/>
              <w:rPr>
                <w:rFonts w:cs="Times New Roman"/>
                <w:color w:val="000000" w:themeColor="text1"/>
                <w:lang w:val="es-CO"/>
              </w:rPr>
            </w:pPr>
          </w:p>
          <w:p w:rsidR="00A9115A" w:rsidRPr="001B3EA2" w:rsidRDefault="00A9115A" w:rsidP="009561DB">
            <w:pPr>
              <w:rPr>
                <w:rFonts w:cs="Times New Roman"/>
                <w:b/>
                <w:color w:val="000000" w:themeColor="text1"/>
                <w:lang w:val="es-CO"/>
              </w:rPr>
            </w:pPr>
          </w:p>
          <w:p w:rsidR="00A9115A" w:rsidRPr="001B3EA2" w:rsidRDefault="00A9115A" w:rsidP="009561DB">
            <w:pPr>
              <w:rPr>
                <w:rFonts w:cs="Times New Roman"/>
                <w:b/>
                <w:color w:val="000000" w:themeColor="text1"/>
                <w:lang w:val="es-CO"/>
              </w:rPr>
            </w:pPr>
          </w:p>
          <w:p w:rsidR="00AE014B" w:rsidRPr="001B3EA2" w:rsidRDefault="00AE014B" w:rsidP="009561DB">
            <w:pPr>
              <w:jc w:val="center"/>
              <w:rPr>
                <w:rFonts w:cs="Times New Roman"/>
                <w:b/>
                <w:color w:val="000000" w:themeColor="text1"/>
                <w:lang w:val="es-CO"/>
              </w:rPr>
            </w:pPr>
          </w:p>
        </w:tc>
        <w:tc>
          <w:tcPr>
            <w:tcW w:w="3210" w:type="dxa"/>
          </w:tcPr>
          <w:p w:rsidR="003B0FD0" w:rsidRPr="001B3EA2" w:rsidRDefault="003B0FD0" w:rsidP="009561DB">
            <w:pPr>
              <w:jc w:val="center"/>
              <w:rPr>
                <w:rFonts w:cs="Times New Roman"/>
                <w:b/>
                <w:color w:val="000000" w:themeColor="text1"/>
                <w:lang w:val="es-CO"/>
              </w:rPr>
            </w:pPr>
          </w:p>
          <w:p w:rsidR="00D01A96" w:rsidRPr="001B3EA2" w:rsidRDefault="00D01A96" w:rsidP="009561DB">
            <w:pPr>
              <w:jc w:val="center"/>
              <w:rPr>
                <w:rFonts w:cs="Times New Roman"/>
                <w:b/>
                <w:color w:val="000000" w:themeColor="text1"/>
                <w:lang w:val="es-CO"/>
              </w:rPr>
            </w:pPr>
            <w:r w:rsidRPr="001B3EA2">
              <w:rPr>
                <w:rFonts w:cs="Times New Roman"/>
                <w:b/>
                <w:color w:val="000000" w:themeColor="text1"/>
                <w:lang w:val="es-CO"/>
              </w:rPr>
              <w:t>Explicación</w:t>
            </w:r>
          </w:p>
          <w:p w:rsidR="00176264" w:rsidRPr="001B3EA2" w:rsidRDefault="00176264" w:rsidP="009561DB">
            <w:pPr>
              <w:jc w:val="center"/>
              <w:rPr>
                <w:rFonts w:cs="Times New Roman"/>
                <w:b/>
                <w:color w:val="000000" w:themeColor="text1"/>
                <w:lang w:val="es-CO"/>
              </w:rPr>
            </w:pPr>
            <w:r w:rsidRPr="001B3EA2">
              <w:rPr>
                <w:rFonts w:cs="Times New Roman"/>
                <w:b/>
                <w:color w:val="000000" w:themeColor="text1"/>
                <w:lang w:val="es-CO"/>
              </w:rPr>
              <w:t>(por qué)</w:t>
            </w:r>
          </w:p>
        </w:tc>
      </w:tr>
      <w:tr w:rsidR="001B3EA2" w:rsidRPr="001B3EA2" w:rsidTr="006442A4">
        <w:tc>
          <w:tcPr>
            <w:tcW w:w="1951" w:type="dxa"/>
            <w:vMerge/>
          </w:tcPr>
          <w:p w:rsidR="00D01A96" w:rsidRPr="001B3EA2" w:rsidRDefault="00D01A96" w:rsidP="009561DB">
            <w:pPr>
              <w:jc w:val="both"/>
              <w:rPr>
                <w:rFonts w:cs="Times New Roman"/>
                <w:color w:val="000000" w:themeColor="text1"/>
                <w:lang w:val="es-CO"/>
              </w:rPr>
            </w:pPr>
          </w:p>
        </w:tc>
        <w:tc>
          <w:tcPr>
            <w:tcW w:w="2410" w:type="dxa"/>
            <w:vMerge/>
          </w:tcPr>
          <w:p w:rsidR="00D01A96" w:rsidRPr="001B3EA2" w:rsidRDefault="00D01A96" w:rsidP="009561DB">
            <w:pPr>
              <w:jc w:val="center"/>
              <w:rPr>
                <w:rFonts w:cs="Times New Roman"/>
                <w:color w:val="000000" w:themeColor="text1"/>
                <w:lang w:val="es-CO"/>
              </w:rPr>
            </w:pPr>
          </w:p>
        </w:tc>
        <w:tc>
          <w:tcPr>
            <w:tcW w:w="1483" w:type="dxa"/>
          </w:tcPr>
          <w:p w:rsidR="00B62327" w:rsidRPr="001B3EA2" w:rsidRDefault="00B62327" w:rsidP="009561DB">
            <w:pPr>
              <w:jc w:val="center"/>
              <w:rPr>
                <w:rFonts w:cs="Times New Roman"/>
                <w:b/>
                <w:color w:val="000000" w:themeColor="text1"/>
                <w:lang w:val="es-CO"/>
              </w:rPr>
            </w:pPr>
            <w:r w:rsidRPr="001B3EA2">
              <w:rPr>
                <w:rFonts w:cs="Times New Roman"/>
                <w:b/>
                <w:color w:val="000000" w:themeColor="text1"/>
                <w:lang w:val="es-CO"/>
              </w:rPr>
              <w:t>Abstracción</w:t>
            </w:r>
          </w:p>
          <w:p w:rsidR="00D01A96" w:rsidRPr="001B3EA2" w:rsidRDefault="00054E6D" w:rsidP="009561DB">
            <w:pPr>
              <w:jc w:val="center"/>
              <w:rPr>
                <w:rFonts w:cs="Times New Roman"/>
                <w:b/>
                <w:color w:val="000000" w:themeColor="text1"/>
                <w:lang w:val="es-CO"/>
              </w:rPr>
            </w:pPr>
            <w:r w:rsidRPr="001B3EA2">
              <w:rPr>
                <w:rFonts w:cs="Times New Roman"/>
                <w:b/>
                <w:color w:val="000000" w:themeColor="text1"/>
                <w:lang w:val="es-CO"/>
              </w:rPr>
              <w:t>(cómo)</w:t>
            </w:r>
          </w:p>
        </w:tc>
        <w:tc>
          <w:tcPr>
            <w:tcW w:w="3210" w:type="dxa"/>
          </w:tcPr>
          <w:p w:rsidR="003B0FD0" w:rsidRPr="001B3EA2" w:rsidRDefault="003B0FD0" w:rsidP="009561DB">
            <w:pPr>
              <w:jc w:val="center"/>
              <w:rPr>
                <w:rFonts w:cs="Times New Roman"/>
                <w:color w:val="000000" w:themeColor="text1"/>
                <w:lang w:val="es-CO"/>
              </w:rPr>
            </w:pPr>
          </w:p>
          <w:p w:rsidR="003B0FD0" w:rsidRPr="001B3EA2" w:rsidRDefault="00D01A96" w:rsidP="009561DB">
            <w:pPr>
              <w:jc w:val="center"/>
              <w:rPr>
                <w:rFonts w:cs="Times New Roman"/>
                <w:color w:val="000000" w:themeColor="text1"/>
                <w:lang w:val="es-CO"/>
              </w:rPr>
            </w:pPr>
            <w:r w:rsidRPr="001B3EA2">
              <w:rPr>
                <w:rFonts w:cs="Times New Roman"/>
                <w:color w:val="000000" w:themeColor="text1"/>
                <w:lang w:val="es-CO"/>
              </w:rPr>
              <w:t>Abstracción</w:t>
            </w:r>
          </w:p>
        </w:tc>
      </w:tr>
      <w:tr w:rsidR="001B3EA2" w:rsidRPr="001B3EA2" w:rsidTr="006442A4">
        <w:tc>
          <w:tcPr>
            <w:tcW w:w="1951" w:type="dxa"/>
            <w:vMerge/>
          </w:tcPr>
          <w:p w:rsidR="00D01A96" w:rsidRPr="001B3EA2" w:rsidRDefault="00D01A96" w:rsidP="009561DB">
            <w:pPr>
              <w:jc w:val="both"/>
              <w:rPr>
                <w:rFonts w:cs="Times New Roman"/>
                <w:color w:val="000000" w:themeColor="text1"/>
                <w:lang w:val="es-CO"/>
              </w:rPr>
            </w:pPr>
          </w:p>
        </w:tc>
        <w:tc>
          <w:tcPr>
            <w:tcW w:w="2410" w:type="dxa"/>
          </w:tcPr>
          <w:p w:rsidR="003B0FD0" w:rsidRPr="001B3EA2" w:rsidRDefault="003B0FD0" w:rsidP="009561DB">
            <w:pPr>
              <w:jc w:val="center"/>
              <w:rPr>
                <w:rFonts w:cs="Times New Roman"/>
                <w:b/>
                <w:color w:val="000000" w:themeColor="text1"/>
                <w:lang w:val="es-CO"/>
              </w:rPr>
            </w:pPr>
          </w:p>
          <w:p w:rsidR="00D01A96" w:rsidRPr="001B3EA2" w:rsidRDefault="00D01A96" w:rsidP="009561DB">
            <w:pPr>
              <w:jc w:val="center"/>
              <w:rPr>
                <w:rFonts w:cs="Times New Roman"/>
                <w:b/>
                <w:color w:val="000000" w:themeColor="text1"/>
                <w:lang w:val="es-CO"/>
              </w:rPr>
            </w:pPr>
            <w:r w:rsidRPr="001B3EA2">
              <w:rPr>
                <w:rFonts w:cs="Times New Roman"/>
                <w:b/>
                <w:color w:val="000000" w:themeColor="text1"/>
                <w:lang w:val="es-CO"/>
              </w:rPr>
              <w:t>Clasificación</w:t>
            </w:r>
            <w:r w:rsidR="00176264" w:rsidRPr="001B3EA2">
              <w:rPr>
                <w:rFonts w:cs="Times New Roman"/>
                <w:b/>
                <w:color w:val="000000" w:themeColor="text1"/>
                <w:lang w:val="es-CO"/>
              </w:rPr>
              <w:t xml:space="preserve"> (</w:t>
            </w:r>
            <w:r w:rsidR="00054E6D" w:rsidRPr="001B3EA2">
              <w:rPr>
                <w:rFonts w:cs="Times New Roman"/>
                <w:b/>
                <w:color w:val="000000" w:themeColor="text1"/>
                <w:lang w:val="es-CO"/>
              </w:rPr>
              <w:t>qué</w:t>
            </w:r>
            <w:r w:rsidR="00176264" w:rsidRPr="001B3EA2">
              <w:rPr>
                <w:rFonts w:cs="Times New Roman"/>
                <w:b/>
                <w:color w:val="000000" w:themeColor="text1"/>
                <w:lang w:val="es-CO"/>
              </w:rPr>
              <w:t>)</w:t>
            </w:r>
          </w:p>
        </w:tc>
        <w:tc>
          <w:tcPr>
            <w:tcW w:w="1483" w:type="dxa"/>
          </w:tcPr>
          <w:p w:rsidR="003B0FD0" w:rsidRPr="001B3EA2" w:rsidRDefault="003B0FD0" w:rsidP="009561DB">
            <w:pPr>
              <w:jc w:val="center"/>
              <w:rPr>
                <w:rFonts w:cs="Times New Roman"/>
                <w:color w:val="000000" w:themeColor="text1"/>
                <w:lang w:val="es-CO"/>
              </w:rPr>
            </w:pPr>
          </w:p>
          <w:p w:rsidR="00D01A96" w:rsidRPr="001B3EA2" w:rsidRDefault="00D01A96" w:rsidP="009561DB">
            <w:pPr>
              <w:jc w:val="center"/>
              <w:rPr>
                <w:rFonts w:cs="Times New Roman"/>
                <w:color w:val="000000" w:themeColor="text1"/>
                <w:lang w:val="es-CO"/>
              </w:rPr>
            </w:pPr>
            <w:r w:rsidRPr="001B3EA2">
              <w:rPr>
                <w:rFonts w:cs="Times New Roman"/>
                <w:color w:val="000000" w:themeColor="text1"/>
                <w:lang w:val="es-CO"/>
              </w:rPr>
              <w:t>Clasificación</w:t>
            </w:r>
          </w:p>
        </w:tc>
        <w:tc>
          <w:tcPr>
            <w:tcW w:w="3210" w:type="dxa"/>
          </w:tcPr>
          <w:p w:rsidR="003B0FD0" w:rsidRPr="001B3EA2" w:rsidRDefault="003B0FD0" w:rsidP="009561DB">
            <w:pPr>
              <w:jc w:val="center"/>
              <w:rPr>
                <w:rFonts w:cs="Times New Roman"/>
                <w:color w:val="000000" w:themeColor="text1"/>
                <w:lang w:val="es-CO"/>
              </w:rPr>
            </w:pPr>
          </w:p>
          <w:p w:rsidR="00D01A96" w:rsidRPr="001B3EA2" w:rsidRDefault="00D01A96" w:rsidP="009561DB">
            <w:pPr>
              <w:jc w:val="center"/>
              <w:rPr>
                <w:rFonts w:cs="Times New Roman"/>
                <w:color w:val="000000" w:themeColor="text1"/>
                <w:lang w:val="es-CO"/>
              </w:rPr>
            </w:pPr>
            <w:r w:rsidRPr="001B3EA2">
              <w:rPr>
                <w:rFonts w:cs="Times New Roman"/>
                <w:color w:val="000000" w:themeColor="text1"/>
                <w:lang w:val="es-CO"/>
              </w:rPr>
              <w:t>Clasificación</w:t>
            </w:r>
          </w:p>
        </w:tc>
      </w:tr>
    </w:tbl>
    <w:p w:rsidR="00D01A96" w:rsidRPr="001B3EA2" w:rsidRDefault="00D01A96" w:rsidP="009561DB">
      <w:pPr>
        <w:ind w:left="708"/>
        <w:jc w:val="right"/>
        <w:rPr>
          <w:rFonts w:cs="Times New Roman"/>
          <w:i/>
          <w:color w:val="000000" w:themeColor="text1"/>
          <w:lang w:val="es-CO"/>
        </w:rPr>
      </w:pPr>
      <w:r w:rsidRPr="001B3EA2">
        <w:rPr>
          <w:rFonts w:cs="Times New Roman"/>
          <w:color w:val="000000" w:themeColor="text1"/>
          <w:lang w:val="es-CO"/>
        </w:rPr>
        <w:t xml:space="preserve">Elaboración propia a partir de </w:t>
      </w:r>
      <w:proofErr w:type="spellStart"/>
      <w:r w:rsidR="00816120" w:rsidRPr="001B3EA2">
        <w:rPr>
          <w:rFonts w:cs="Times New Roman"/>
          <w:color w:val="000000" w:themeColor="text1"/>
          <w:lang w:val="es-CO"/>
        </w:rPr>
        <w:t>Mouton</w:t>
      </w:r>
      <w:proofErr w:type="spellEnd"/>
      <w:r w:rsidR="00816120" w:rsidRPr="001B3EA2">
        <w:rPr>
          <w:rFonts w:cs="Times New Roman"/>
          <w:color w:val="000000" w:themeColor="text1"/>
          <w:lang w:val="es-CO"/>
        </w:rPr>
        <w:t xml:space="preserve"> &amp; </w:t>
      </w:r>
      <w:proofErr w:type="spellStart"/>
      <w:r w:rsidR="00816120" w:rsidRPr="001B3EA2">
        <w:rPr>
          <w:rFonts w:cs="Times New Roman"/>
          <w:color w:val="000000" w:themeColor="text1"/>
          <w:lang w:val="es-CO"/>
        </w:rPr>
        <w:t>Marais</w:t>
      </w:r>
      <w:proofErr w:type="spellEnd"/>
      <w:r w:rsidRPr="001B3EA2">
        <w:rPr>
          <w:rFonts w:cs="Times New Roman"/>
          <w:color w:val="000000" w:themeColor="text1"/>
          <w:lang w:val="es-CO"/>
        </w:rPr>
        <w:t xml:space="preserve"> </w:t>
      </w:r>
      <w:r w:rsidR="00816120" w:rsidRPr="001B3EA2">
        <w:rPr>
          <w:rFonts w:cs="Times New Roman"/>
          <w:color w:val="000000" w:themeColor="text1"/>
          <w:lang w:val="es-CO"/>
        </w:rPr>
        <w:t>(</w:t>
      </w:r>
      <w:r w:rsidRPr="001B3EA2">
        <w:rPr>
          <w:rFonts w:cs="Times New Roman"/>
          <w:color w:val="000000" w:themeColor="text1"/>
          <w:lang w:val="es-CO"/>
        </w:rPr>
        <w:t>1990: 144).</w:t>
      </w:r>
      <w:r w:rsidRPr="001B3EA2">
        <w:rPr>
          <w:rFonts w:cs="Times New Roman"/>
          <w:i/>
          <w:noProof/>
          <w:color w:val="000000" w:themeColor="text1"/>
          <w:lang w:val="es-CO"/>
        </w:rPr>
        <w:t xml:space="preserve"> </w:t>
      </w:r>
      <w:r w:rsidRPr="001B3EA2">
        <w:rPr>
          <w:rFonts w:cs="Times New Roman"/>
          <w:i/>
          <w:color w:val="000000" w:themeColor="text1"/>
          <w:lang w:val="es-CO"/>
        </w:rPr>
        <w:t xml:space="preserve"> </w:t>
      </w:r>
    </w:p>
    <w:p w:rsidR="00537D27" w:rsidRPr="001B3EA2" w:rsidRDefault="00A9115A" w:rsidP="009561DB">
      <w:pPr>
        <w:spacing w:after="0"/>
        <w:jc w:val="both"/>
        <w:rPr>
          <w:rFonts w:cs="Times New Roman"/>
          <w:color w:val="000000" w:themeColor="text1"/>
          <w:lang w:val="es-CO"/>
        </w:rPr>
      </w:pPr>
      <w:r w:rsidRPr="001B3EA2">
        <w:rPr>
          <w:rFonts w:cs="Times New Roman"/>
          <w:color w:val="000000" w:themeColor="text1"/>
          <w:lang w:val="es-CO"/>
        </w:rPr>
        <w:t>E</w:t>
      </w:r>
      <w:r w:rsidR="00537D27" w:rsidRPr="001B3EA2">
        <w:rPr>
          <w:rFonts w:cs="Times New Roman"/>
          <w:color w:val="000000" w:themeColor="text1"/>
          <w:lang w:val="es-CO"/>
        </w:rPr>
        <w:t xml:space="preserve">n el caso de la </w:t>
      </w:r>
      <w:r w:rsidR="00C220E2">
        <w:rPr>
          <w:rFonts w:cs="Times New Roman"/>
          <w:color w:val="000000" w:themeColor="text1"/>
          <w:lang w:val="es-CO"/>
        </w:rPr>
        <w:t>RSE</w:t>
      </w:r>
      <w:r w:rsidR="00537D27" w:rsidRPr="001B3EA2">
        <w:rPr>
          <w:rFonts w:cs="Times New Roman"/>
          <w:color w:val="000000" w:themeColor="text1"/>
          <w:lang w:val="es-CO"/>
        </w:rPr>
        <w:t>, a continuación se presenta una revisión bibliográfica que incluye</w:t>
      </w:r>
      <w:r w:rsidR="00F045AD" w:rsidRPr="001B3EA2">
        <w:rPr>
          <w:rFonts w:cs="Times New Roman"/>
          <w:color w:val="000000" w:themeColor="text1"/>
          <w:lang w:val="es-CO"/>
        </w:rPr>
        <w:t xml:space="preserve"> u</w:t>
      </w:r>
      <w:r w:rsidR="00FA5909" w:rsidRPr="001B3EA2">
        <w:rPr>
          <w:rFonts w:cs="Times New Roman"/>
          <w:color w:val="000000" w:themeColor="text1"/>
          <w:lang w:val="es-CO"/>
        </w:rPr>
        <w:t>na clasificación</w:t>
      </w:r>
      <w:r w:rsidR="004E567F" w:rsidRPr="001B3EA2">
        <w:rPr>
          <w:rFonts w:cs="Times New Roman"/>
          <w:color w:val="000000" w:themeColor="text1"/>
          <w:lang w:val="es-CO"/>
        </w:rPr>
        <w:t xml:space="preserve"> integral </w:t>
      </w:r>
      <w:r w:rsidR="0041167F" w:rsidRPr="001B3EA2">
        <w:rPr>
          <w:rFonts w:cs="Times New Roman"/>
          <w:color w:val="000000" w:themeColor="text1"/>
          <w:lang w:val="es-CO"/>
        </w:rPr>
        <w:t xml:space="preserve">de </w:t>
      </w:r>
      <w:r w:rsidR="004E567F" w:rsidRPr="001B3EA2">
        <w:rPr>
          <w:rFonts w:cs="Times New Roman"/>
          <w:color w:val="000000" w:themeColor="text1"/>
          <w:lang w:val="es-CO"/>
        </w:rPr>
        <w:t xml:space="preserve">investigaciones </w:t>
      </w:r>
      <w:r w:rsidR="0041167F" w:rsidRPr="001B3EA2">
        <w:rPr>
          <w:rFonts w:cs="Times New Roman"/>
          <w:color w:val="000000" w:themeColor="text1"/>
          <w:lang w:val="es-CO"/>
        </w:rPr>
        <w:t>existentes sobre el tema</w:t>
      </w:r>
      <w:r w:rsidR="00BD03E3" w:rsidRPr="001B3EA2">
        <w:rPr>
          <w:rFonts w:cs="Times New Roman"/>
          <w:color w:val="000000" w:themeColor="text1"/>
          <w:lang w:val="es-CO"/>
        </w:rPr>
        <w:t xml:space="preserve">, inicialmente recolectadas por Garriga &amp; Melé (2004) bajo su propia noción de las dimensiones económicas, políticas, éticas y culturales, </w:t>
      </w:r>
      <w:r w:rsidR="003733A5" w:rsidRPr="001B3EA2">
        <w:rPr>
          <w:rFonts w:cs="Times New Roman"/>
          <w:color w:val="000000" w:themeColor="text1"/>
          <w:lang w:val="es-CO"/>
        </w:rPr>
        <w:t>y</w:t>
      </w:r>
      <w:r w:rsidR="00BD03E3" w:rsidRPr="001B3EA2">
        <w:rPr>
          <w:rFonts w:cs="Times New Roman"/>
          <w:color w:val="000000" w:themeColor="text1"/>
          <w:lang w:val="es-CO"/>
        </w:rPr>
        <w:t xml:space="preserve"> posteriormente</w:t>
      </w:r>
      <w:r w:rsidR="003733A5" w:rsidRPr="001B3EA2">
        <w:rPr>
          <w:rFonts w:cs="Times New Roman"/>
          <w:color w:val="000000" w:themeColor="text1"/>
          <w:lang w:val="es-CO"/>
        </w:rPr>
        <w:t xml:space="preserve"> complementadas por el autor</w:t>
      </w:r>
      <w:r w:rsidR="004E567F" w:rsidRPr="001B3EA2">
        <w:rPr>
          <w:rFonts w:cs="Times New Roman"/>
          <w:color w:val="000000" w:themeColor="text1"/>
          <w:lang w:val="es-CO"/>
        </w:rPr>
        <w:t>. Dentro de las referencias revisadas, se identifica</w:t>
      </w:r>
      <w:r w:rsidR="00F045AD" w:rsidRPr="001B3EA2">
        <w:rPr>
          <w:rFonts w:cs="Times New Roman"/>
          <w:color w:val="000000" w:themeColor="text1"/>
          <w:lang w:val="es-CO"/>
        </w:rPr>
        <w:t xml:space="preserve"> una tipología, un modelo y un conjunto de teorías</w:t>
      </w:r>
      <w:r w:rsidR="00CE670A" w:rsidRPr="001B3EA2">
        <w:rPr>
          <w:rFonts w:cs="Times New Roman"/>
          <w:color w:val="000000" w:themeColor="text1"/>
          <w:lang w:val="es-CO"/>
        </w:rPr>
        <w:t>, que servir</w:t>
      </w:r>
      <w:r w:rsidR="00A41720">
        <w:rPr>
          <w:rFonts w:cs="Times New Roman"/>
          <w:color w:val="000000" w:themeColor="text1"/>
          <w:lang w:val="es-CO"/>
        </w:rPr>
        <w:t>án como base para definir</w:t>
      </w:r>
      <w:r w:rsidR="00CE670A" w:rsidRPr="001B3EA2">
        <w:rPr>
          <w:rFonts w:cs="Times New Roman"/>
          <w:color w:val="000000" w:themeColor="text1"/>
          <w:lang w:val="es-CO"/>
        </w:rPr>
        <w:t xml:space="preserve"> una estructura conceptual </w:t>
      </w:r>
      <w:r w:rsidR="00567F9F" w:rsidRPr="001B3EA2">
        <w:rPr>
          <w:rFonts w:cs="Times New Roman"/>
          <w:color w:val="000000" w:themeColor="text1"/>
          <w:lang w:val="es-CO"/>
        </w:rPr>
        <w:t xml:space="preserve">provisional, </w:t>
      </w:r>
      <w:r w:rsidR="00584441" w:rsidRPr="001B3EA2">
        <w:rPr>
          <w:rFonts w:cs="Times New Roman"/>
          <w:color w:val="000000" w:themeColor="text1"/>
          <w:lang w:val="es-CO"/>
        </w:rPr>
        <w:t>que sirva de base para</w:t>
      </w:r>
      <w:r w:rsidR="00F045AD" w:rsidRPr="001B3EA2">
        <w:rPr>
          <w:rFonts w:cs="Times New Roman"/>
          <w:color w:val="000000" w:themeColor="text1"/>
          <w:lang w:val="es-CO"/>
        </w:rPr>
        <w:t xml:space="preserve"> explicar el fenómeno de la responsabilid</w:t>
      </w:r>
      <w:r w:rsidR="00FA5909" w:rsidRPr="001B3EA2">
        <w:rPr>
          <w:rFonts w:cs="Times New Roman"/>
          <w:color w:val="000000" w:themeColor="text1"/>
          <w:lang w:val="es-CO"/>
        </w:rPr>
        <w:t xml:space="preserve">ad social de empresas estatales, </w:t>
      </w:r>
      <w:r w:rsidR="00F045AD" w:rsidRPr="001B3EA2">
        <w:rPr>
          <w:rFonts w:cs="Times New Roman"/>
          <w:color w:val="000000" w:themeColor="text1"/>
          <w:lang w:val="es-CO"/>
        </w:rPr>
        <w:t>tanto a niv</w:t>
      </w:r>
      <w:r w:rsidR="00ED06C9" w:rsidRPr="001B3EA2">
        <w:rPr>
          <w:rFonts w:cs="Times New Roman"/>
          <w:color w:val="000000" w:themeColor="text1"/>
          <w:lang w:val="es-CO"/>
        </w:rPr>
        <w:t>el prescriptivo como empírico</w:t>
      </w:r>
      <w:r w:rsidR="00F045AD" w:rsidRPr="001B3EA2">
        <w:rPr>
          <w:rFonts w:cs="Times New Roman"/>
          <w:color w:val="000000" w:themeColor="text1"/>
          <w:lang w:val="es-CO"/>
        </w:rPr>
        <w:t xml:space="preserve">. </w:t>
      </w:r>
    </w:p>
    <w:p w:rsidR="008D1CF7" w:rsidRPr="001B3EA2" w:rsidRDefault="008D1CF7" w:rsidP="009561DB">
      <w:pPr>
        <w:spacing w:after="0"/>
        <w:rPr>
          <w:rFonts w:cs="Times New Roman"/>
          <w:color w:val="000000" w:themeColor="text1"/>
          <w:u w:val="single"/>
          <w:lang w:val="es-CO"/>
        </w:rPr>
      </w:pPr>
    </w:p>
    <w:p w:rsidR="00653FFC" w:rsidRPr="001B3EA2" w:rsidRDefault="00653FFC" w:rsidP="009561DB">
      <w:pPr>
        <w:spacing w:after="0"/>
        <w:jc w:val="both"/>
        <w:rPr>
          <w:rFonts w:cs="Times New Roman"/>
          <w:color w:val="000000" w:themeColor="text1"/>
          <w:u w:val="single"/>
          <w:lang w:val="es-CO"/>
        </w:rPr>
      </w:pPr>
      <w:r w:rsidRPr="001B3EA2">
        <w:rPr>
          <w:rFonts w:cs="Times New Roman"/>
          <w:color w:val="000000" w:themeColor="text1"/>
          <w:u w:val="single"/>
          <w:lang w:val="es-CO"/>
        </w:rPr>
        <w:t xml:space="preserve">Tipología integral de la </w:t>
      </w:r>
      <w:r w:rsidR="00E935F5" w:rsidRPr="001B3EA2">
        <w:rPr>
          <w:rFonts w:cs="Times New Roman"/>
          <w:color w:val="000000" w:themeColor="text1"/>
          <w:u w:val="single"/>
          <w:lang w:val="es-CO"/>
        </w:rPr>
        <w:t>Responsabilidad Social Empresarial (</w:t>
      </w:r>
      <w:r w:rsidRPr="001B3EA2">
        <w:rPr>
          <w:rFonts w:cs="Times New Roman"/>
          <w:color w:val="000000" w:themeColor="text1"/>
          <w:u w:val="single"/>
          <w:lang w:val="es-CO"/>
        </w:rPr>
        <w:t>RSE</w:t>
      </w:r>
      <w:r w:rsidR="00E935F5" w:rsidRPr="001B3EA2">
        <w:rPr>
          <w:rFonts w:cs="Times New Roman"/>
          <w:color w:val="000000" w:themeColor="text1"/>
          <w:u w:val="single"/>
          <w:lang w:val="es-CO"/>
        </w:rPr>
        <w:t>)</w:t>
      </w:r>
    </w:p>
    <w:p w:rsidR="00653FFC" w:rsidRPr="001B3EA2" w:rsidRDefault="00653FFC" w:rsidP="009561DB">
      <w:pPr>
        <w:spacing w:after="0"/>
        <w:jc w:val="both"/>
        <w:rPr>
          <w:rFonts w:cs="Times New Roman"/>
          <w:color w:val="000000" w:themeColor="text1"/>
          <w:lang w:val="es-CO"/>
        </w:rPr>
      </w:pPr>
    </w:p>
    <w:p w:rsidR="00887905" w:rsidRPr="001B3EA2" w:rsidRDefault="00144382" w:rsidP="009561DB">
      <w:pPr>
        <w:spacing w:after="0"/>
        <w:jc w:val="both"/>
        <w:rPr>
          <w:rFonts w:cs="Times New Roman"/>
          <w:color w:val="000000" w:themeColor="text1"/>
          <w:lang w:val="es-CO"/>
        </w:rPr>
      </w:pPr>
      <w:r w:rsidRPr="001B3EA2">
        <w:rPr>
          <w:rFonts w:cs="Times New Roman"/>
          <w:color w:val="000000" w:themeColor="text1"/>
          <w:lang w:val="es-CO"/>
        </w:rPr>
        <w:t xml:space="preserve">La </w:t>
      </w:r>
      <w:r w:rsidR="00C63EBE" w:rsidRPr="001B3EA2">
        <w:rPr>
          <w:rFonts w:cs="Times New Roman"/>
          <w:color w:val="000000" w:themeColor="text1"/>
          <w:lang w:val="es-CO"/>
        </w:rPr>
        <w:t>RSE</w:t>
      </w:r>
      <w:r w:rsidRPr="001B3EA2">
        <w:rPr>
          <w:rFonts w:cs="Times New Roman"/>
          <w:color w:val="000000" w:themeColor="text1"/>
          <w:lang w:val="es-CO"/>
        </w:rPr>
        <w:t xml:space="preserve"> ha sido objeto de estudio desde diversas disciplinas y enfoques, con la dificultad de usar los mismos términos para re</w:t>
      </w:r>
      <w:r w:rsidR="00887905" w:rsidRPr="001B3EA2">
        <w:rPr>
          <w:rFonts w:cs="Times New Roman"/>
          <w:color w:val="000000" w:themeColor="text1"/>
          <w:lang w:val="es-CO"/>
        </w:rPr>
        <w:t>ferirse a cosas distintas. Así,</w:t>
      </w:r>
      <w:r w:rsidRPr="001B3EA2">
        <w:rPr>
          <w:rFonts w:cs="Times New Roman"/>
          <w:color w:val="000000" w:themeColor="text1"/>
          <w:lang w:val="es-CO"/>
        </w:rPr>
        <w:t xml:space="preserve"> “responsabilidad social” </w:t>
      </w:r>
      <w:r w:rsidR="0034421B" w:rsidRPr="001B3EA2">
        <w:rPr>
          <w:rFonts w:cs="Times New Roman"/>
          <w:color w:val="000000" w:themeColor="text1"/>
          <w:lang w:val="es-CO"/>
        </w:rPr>
        <w:t xml:space="preserve">ha </w:t>
      </w:r>
      <w:r w:rsidRPr="001B3EA2">
        <w:rPr>
          <w:rFonts w:cs="Times New Roman"/>
          <w:color w:val="000000" w:themeColor="text1"/>
          <w:lang w:val="es-CO"/>
        </w:rPr>
        <w:t>significa</w:t>
      </w:r>
      <w:r w:rsidR="0034421B" w:rsidRPr="001B3EA2">
        <w:rPr>
          <w:rFonts w:cs="Times New Roman"/>
          <w:color w:val="000000" w:themeColor="text1"/>
          <w:lang w:val="es-CO"/>
        </w:rPr>
        <w:t>do</w:t>
      </w:r>
      <w:r w:rsidRPr="001B3EA2">
        <w:rPr>
          <w:rFonts w:cs="Times New Roman"/>
          <w:color w:val="000000" w:themeColor="text1"/>
          <w:lang w:val="es-CO"/>
        </w:rPr>
        <w:t xml:space="preserve"> la respuesta que la gerencia debe dar a los </w:t>
      </w:r>
      <w:r w:rsidR="00843C34" w:rsidRPr="001B3EA2">
        <w:rPr>
          <w:rFonts w:cs="Times New Roman"/>
          <w:color w:val="000000" w:themeColor="text1"/>
          <w:lang w:val="es-CO"/>
        </w:rPr>
        <w:t>accionistas</w:t>
      </w:r>
      <w:r w:rsidRPr="001B3EA2">
        <w:rPr>
          <w:rFonts w:cs="Times New Roman"/>
          <w:color w:val="000000" w:themeColor="text1"/>
          <w:lang w:val="es-CO"/>
        </w:rPr>
        <w:t xml:space="preserve"> en términos de rentabilidad financiera (Friedman</w:t>
      </w:r>
      <w:r w:rsidR="00573B95" w:rsidRPr="001B3EA2">
        <w:rPr>
          <w:rFonts w:cs="Times New Roman"/>
          <w:color w:val="000000" w:themeColor="text1"/>
          <w:lang w:val="es-CO"/>
        </w:rPr>
        <w:t>, 1970</w:t>
      </w:r>
      <w:r w:rsidRPr="001B3EA2">
        <w:rPr>
          <w:rFonts w:cs="Times New Roman"/>
          <w:color w:val="000000" w:themeColor="text1"/>
          <w:lang w:val="es-CO"/>
        </w:rPr>
        <w:t xml:space="preserve">); o la respuesta que los </w:t>
      </w:r>
      <w:r w:rsidR="00843C34" w:rsidRPr="001B3EA2">
        <w:rPr>
          <w:rFonts w:cs="Times New Roman"/>
          <w:color w:val="000000" w:themeColor="text1"/>
          <w:lang w:val="es-CO"/>
        </w:rPr>
        <w:t>accionistas</w:t>
      </w:r>
      <w:r w:rsidRPr="001B3EA2">
        <w:rPr>
          <w:rFonts w:cs="Times New Roman"/>
          <w:color w:val="000000" w:themeColor="text1"/>
          <w:lang w:val="es-CO"/>
        </w:rPr>
        <w:t xml:space="preserve"> y la gerencia deben dar a </w:t>
      </w:r>
      <w:r w:rsidR="004427DD" w:rsidRPr="001B3EA2">
        <w:rPr>
          <w:rFonts w:cs="Times New Roman"/>
          <w:color w:val="000000" w:themeColor="text1"/>
          <w:lang w:val="es-CO"/>
        </w:rPr>
        <w:t xml:space="preserve">las </w:t>
      </w:r>
      <w:r w:rsidR="00DC0977" w:rsidRPr="001B3EA2">
        <w:rPr>
          <w:rFonts w:cs="Times New Roman"/>
          <w:color w:val="000000" w:themeColor="text1"/>
          <w:lang w:val="es-CO"/>
        </w:rPr>
        <w:t xml:space="preserve">demandas sociales de </w:t>
      </w:r>
      <w:r w:rsidRPr="001B3EA2">
        <w:rPr>
          <w:rFonts w:cs="Times New Roman"/>
          <w:color w:val="000000" w:themeColor="text1"/>
          <w:lang w:val="es-CO"/>
        </w:rPr>
        <w:t>los “grupos de interés”</w:t>
      </w:r>
      <w:r w:rsidR="00955773" w:rsidRPr="001B3EA2">
        <w:rPr>
          <w:rFonts w:cs="Times New Roman"/>
          <w:color w:val="000000" w:themeColor="text1"/>
          <w:lang w:val="es-CO"/>
        </w:rPr>
        <w:t xml:space="preserve"> de la empresa</w:t>
      </w:r>
      <w:r w:rsidRPr="001B3EA2">
        <w:rPr>
          <w:rFonts w:cs="Times New Roman"/>
          <w:color w:val="000000" w:themeColor="text1"/>
          <w:lang w:val="es-CO"/>
        </w:rPr>
        <w:t xml:space="preserve"> </w:t>
      </w:r>
      <w:r w:rsidR="00887905" w:rsidRPr="001B3EA2">
        <w:rPr>
          <w:rFonts w:cs="Times New Roman"/>
          <w:color w:val="000000" w:themeColor="text1"/>
          <w:lang w:val="es-CO"/>
        </w:rPr>
        <w:t xml:space="preserve">(empleados, proveedores, clientes, comunidades, Estado) </w:t>
      </w:r>
      <w:r w:rsidRPr="001B3EA2">
        <w:rPr>
          <w:rFonts w:cs="Times New Roman"/>
          <w:color w:val="000000" w:themeColor="text1"/>
          <w:lang w:val="es-CO"/>
        </w:rPr>
        <w:t>(</w:t>
      </w:r>
      <w:proofErr w:type="spellStart"/>
      <w:r w:rsidRPr="001B3EA2">
        <w:rPr>
          <w:rFonts w:cs="Times New Roman"/>
          <w:color w:val="000000" w:themeColor="text1"/>
          <w:lang w:val="es-CO"/>
        </w:rPr>
        <w:t>Freeman</w:t>
      </w:r>
      <w:proofErr w:type="spellEnd"/>
      <w:r w:rsidR="00573B95" w:rsidRPr="001B3EA2">
        <w:rPr>
          <w:rFonts w:cs="Times New Roman"/>
          <w:color w:val="000000" w:themeColor="text1"/>
          <w:lang w:val="es-CO"/>
        </w:rPr>
        <w:t>, 1994</w:t>
      </w:r>
      <w:r w:rsidRPr="001B3EA2">
        <w:rPr>
          <w:rFonts w:cs="Times New Roman"/>
          <w:color w:val="000000" w:themeColor="text1"/>
          <w:lang w:val="es-CO"/>
        </w:rPr>
        <w:t xml:space="preserve">); o el compromiso ciudadano que toda empresa debe asumir ante la necesidad de un mundo </w:t>
      </w:r>
      <w:r w:rsidR="00D2693B" w:rsidRPr="001B3EA2">
        <w:rPr>
          <w:rFonts w:cs="Times New Roman"/>
          <w:color w:val="000000" w:themeColor="text1"/>
          <w:lang w:val="es-CO"/>
        </w:rPr>
        <w:t xml:space="preserve">ambiental y económicamente </w:t>
      </w:r>
      <w:r w:rsidRPr="001B3EA2">
        <w:rPr>
          <w:rFonts w:cs="Times New Roman"/>
          <w:color w:val="000000" w:themeColor="text1"/>
          <w:lang w:val="es-CO"/>
        </w:rPr>
        <w:t xml:space="preserve">sostenible </w:t>
      </w:r>
      <w:r w:rsidR="00573B95" w:rsidRPr="001B3EA2">
        <w:rPr>
          <w:rFonts w:cs="Times New Roman"/>
          <w:color w:val="000000" w:themeColor="text1"/>
          <w:lang w:val="es-CO"/>
        </w:rPr>
        <w:t>(</w:t>
      </w:r>
      <w:proofErr w:type="spellStart"/>
      <w:r w:rsidR="00573B95" w:rsidRPr="001B3EA2">
        <w:rPr>
          <w:rFonts w:cs="Times New Roman"/>
          <w:color w:val="000000" w:themeColor="text1"/>
          <w:lang w:val="es-CO"/>
        </w:rPr>
        <w:t>Fairb</w:t>
      </w:r>
      <w:r w:rsidR="00887905" w:rsidRPr="001B3EA2">
        <w:rPr>
          <w:rFonts w:cs="Times New Roman"/>
          <w:color w:val="000000" w:themeColor="text1"/>
          <w:lang w:val="es-CO"/>
        </w:rPr>
        <w:t>ras</w:t>
      </w:r>
      <w:proofErr w:type="spellEnd"/>
      <w:r w:rsidR="00573B95" w:rsidRPr="001B3EA2">
        <w:rPr>
          <w:rFonts w:cs="Times New Roman"/>
          <w:color w:val="000000" w:themeColor="text1"/>
          <w:lang w:val="es-CO"/>
        </w:rPr>
        <w:t xml:space="preserve"> &amp; </w:t>
      </w:r>
      <w:proofErr w:type="spellStart"/>
      <w:r w:rsidR="00573B95" w:rsidRPr="001B3EA2">
        <w:rPr>
          <w:rFonts w:cs="Times New Roman"/>
          <w:color w:val="000000" w:themeColor="text1"/>
          <w:lang w:val="es-CO"/>
        </w:rPr>
        <w:t>Zueva-Owens</w:t>
      </w:r>
      <w:proofErr w:type="spellEnd"/>
      <w:r w:rsidR="00573B95" w:rsidRPr="001B3EA2">
        <w:rPr>
          <w:rFonts w:cs="Times New Roman"/>
          <w:color w:val="000000" w:themeColor="text1"/>
          <w:lang w:val="es-CO"/>
        </w:rPr>
        <w:t>, 2012</w:t>
      </w:r>
      <w:r w:rsidR="00887905" w:rsidRPr="001B3EA2">
        <w:rPr>
          <w:rFonts w:cs="Times New Roman"/>
          <w:color w:val="000000" w:themeColor="text1"/>
          <w:lang w:val="es-CO"/>
        </w:rPr>
        <w:t>). Si bien</w:t>
      </w:r>
      <w:r w:rsidR="00DC0977" w:rsidRPr="001B3EA2">
        <w:rPr>
          <w:rFonts w:cs="Times New Roman"/>
          <w:color w:val="000000" w:themeColor="text1"/>
          <w:lang w:val="es-CO"/>
        </w:rPr>
        <w:t xml:space="preserve"> tiempo atrás</w:t>
      </w:r>
      <w:r w:rsidR="00887905" w:rsidRPr="001B3EA2">
        <w:rPr>
          <w:rFonts w:cs="Times New Roman"/>
          <w:color w:val="000000" w:themeColor="text1"/>
          <w:lang w:val="es-CO"/>
        </w:rPr>
        <w:t xml:space="preserve"> ha habido intentos de clasificar las distintas concepciones de RSE (</w:t>
      </w:r>
      <w:proofErr w:type="spellStart"/>
      <w:r w:rsidR="00887905" w:rsidRPr="001B3EA2">
        <w:rPr>
          <w:rFonts w:cs="Times New Roman"/>
          <w:color w:val="000000" w:themeColor="text1"/>
          <w:lang w:val="es-CO"/>
        </w:rPr>
        <w:t>Heald</w:t>
      </w:r>
      <w:proofErr w:type="spellEnd"/>
      <w:r w:rsidR="00887905" w:rsidRPr="001B3EA2">
        <w:rPr>
          <w:rFonts w:cs="Times New Roman"/>
          <w:color w:val="000000" w:themeColor="text1"/>
          <w:lang w:val="es-CO"/>
        </w:rPr>
        <w:t xml:space="preserve">, 1988;  Carroll, 1999, Frederick, 1987, 1998), </w:t>
      </w:r>
      <w:r w:rsidR="00D2693B" w:rsidRPr="001B3EA2">
        <w:rPr>
          <w:rFonts w:cs="Times New Roman"/>
          <w:color w:val="000000" w:themeColor="text1"/>
          <w:lang w:val="es-CO"/>
        </w:rPr>
        <w:t>el análisis ha carecido de un</w:t>
      </w:r>
      <w:r w:rsidR="0087089A" w:rsidRPr="001B3EA2">
        <w:rPr>
          <w:rFonts w:cs="Times New Roman"/>
          <w:color w:val="000000" w:themeColor="text1"/>
          <w:lang w:val="es-CO"/>
        </w:rPr>
        <w:t>a discusión vertebral respecto a cómo las distintas teorías abordan el fenómeno de interacción entre los negocios</w:t>
      </w:r>
      <w:r w:rsidR="00EA5C8B" w:rsidRPr="001B3EA2">
        <w:rPr>
          <w:rFonts w:cs="Times New Roman"/>
          <w:color w:val="000000" w:themeColor="text1"/>
          <w:lang w:val="es-CO"/>
        </w:rPr>
        <w:t>, el Estado</w:t>
      </w:r>
      <w:r w:rsidR="0087089A" w:rsidRPr="001B3EA2">
        <w:rPr>
          <w:rFonts w:cs="Times New Roman"/>
          <w:color w:val="000000" w:themeColor="text1"/>
          <w:lang w:val="es-CO"/>
        </w:rPr>
        <w:t xml:space="preserve"> y la sociedad</w:t>
      </w:r>
      <w:r w:rsidR="00573B95" w:rsidRPr="001B3EA2">
        <w:rPr>
          <w:rFonts w:cs="Times New Roman"/>
          <w:color w:val="000000" w:themeColor="text1"/>
          <w:lang w:val="es-CO"/>
        </w:rPr>
        <w:t xml:space="preserve"> (Garriga &amp; Melé, 2004)</w:t>
      </w:r>
      <w:r w:rsidR="0087089A" w:rsidRPr="001B3EA2">
        <w:rPr>
          <w:rFonts w:cs="Times New Roman"/>
          <w:color w:val="000000" w:themeColor="text1"/>
          <w:lang w:val="es-CO"/>
        </w:rPr>
        <w:t xml:space="preserve">. </w:t>
      </w:r>
    </w:p>
    <w:p w:rsidR="0087089A" w:rsidRPr="001B3EA2" w:rsidRDefault="0087089A" w:rsidP="009561DB">
      <w:pPr>
        <w:spacing w:after="0"/>
        <w:jc w:val="both"/>
        <w:rPr>
          <w:rFonts w:cs="Times New Roman"/>
          <w:color w:val="000000" w:themeColor="text1"/>
          <w:lang w:val="es-CO"/>
        </w:rPr>
      </w:pPr>
    </w:p>
    <w:p w:rsidR="0034421B" w:rsidRPr="001B3EA2" w:rsidRDefault="0034421B" w:rsidP="009561DB">
      <w:pPr>
        <w:spacing w:after="0"/>
        <w:jc w:val="both"/>
        <w:rPr>
          <w:rFonts w:cs="Times New Roman"/>
          <w:color w:val="000000" w:themeColor="text1"/>
          <w:lang w:val="es-CO"/>
        </w:rPr>
      </w:pPr>
      <w:r w:rsidRPr="001B3EA2">
        <w:rPr>
          <w:rFonts w:cs="Times New Roman"/>
          <w:color w:val="000000" w:themeColor="text1"/>
          <w:lang w:val="es-CO"/>
        </w:rPr>
        <w:t xml:space="preserve">En aras de un concepto genérico que abarque las distintas acepciones de RSE, resulta útil la definición de Cortina (2003): la responsabilidad supone que “quien tiene la posibilidad de elegir en un sentido u otro, es responsable de lo que ha elegido: tiene que </w:t>
      </w:r>
      <w:r w:rsidRPr="001B3EA2">
        <w:rPr>
          <w:rFonts w:cs="Times New Roman"/>
          <w:i/>
          <w:color w:val="000000" w:themeColor="text1"/>
          <w:lang w:val="es-CO"/>
        </w:rPr>
        <w:t>responder por su elección</w:t>
      </w:r>
      <w:r w:rsidRPr="001B3EA2">
        <w:rPr>
          <w:rFonts w:cs="Times New Roman"/>
          <w:color w:val="000000" w:themeColor="text1"/>
          <w:lang w:val="es-CO"/>
        </w:rPr>
        <w:t xml:space="preserve">, porque estaba en sus manos evitarla” (Cortina, 2003: 21). Toda responsabilidad social está enlazada con la toma de “decisiones morales” (Cortina, 2003: 81), es decir, decisiones a las cuales subyacen consideraciones de lo correcto y lo incorrecto, y que pueden estar –o no- </w:t>
      </w:r>
      <w:proofErr w:type="gramStart"/>
      <w:r w:rsidRPr="001B3EA2">
        <w:rPr>
          <w:rFonts w:cs="Times New Roman"/>
          <w:color w:val="000000" w:themeColor="text1"/>
          <w:lang w:val="es-CO"/>
        </w:rPr>
        <w:t>acompañadas</w:t>
      </w:r>
      <w:proofErr w:type="gramEnd"/>
      <w:r w:rsidRPr="001B3EA2">
        <w:rPr>
          <w:rFonts w:cs="Times New Roman"/>
          <w:color w:val="000000" w:themeColor="text1"/>
          <w:lang w:val="es-CO"/>
        </w:rPr>
        <w:t xml:space="preserve"> de reflexiones éticas entorno a los principios que justifican dichas consideraciones. </w:t>
      </w:r>
    </w:p>
    <w:p w:rsidR="0034421B" w:rsidRPr="001B3EA2" w:rsidRDefault="0034421B" w:rsidP="009561DB">
      <w:pPr>
        <w:spacing w:after="0"/>
        <w:jc w:val="both"/>
        <w:rPr>
          <w:rFonts w:cs="Times New Roman"/>
          <w:color w:val="000000" w:themeColor="text1"/>
          <w:lang w:val="es-CO"/>
        </w:rPr>
      </w:pPr>
    </w:p>
    <w:p w:rsidR="0034421B" w:rsidRPr="001B3EA2" w:rsidRDefault="0034421B" w:rsidP="009561DB">
      <w:pPr>
        <w:spacing w:after="0"/>
        <w:jc w:val="both"/>
        <w:rPr>
          <w:rFonts w:cs="Times New Roman"/>
          <w:color w:val="000000" w:themeColor="text1"/>
          <w:lang w:val="es-CO"/>
        </w:rPr>
      </w:pPr>
      <w:r w:rsidRPr="001B3EA2">
        <w:rPr>
          <w:rFonts w:cs="Times New Roman"/>
          <w:color w:val="000000" w:themeColor="text1"/>
          <w:lang w:val="es-CO"/>
        </w:rPr>
        <w:t>La responsabilidad social de una organización en particular, sea o no una empresa,</w:t>
      </w:r>
      <w:r w:rsidR="007D4A92" w:rsidRPr="001B3EA2">
        <w:rPr>
          <w:rFonts w:cs="Times New Roman"/>
          <w:color w:val="000000" w:themeColor="text1"/>
          <w:lang w:val="es-CO"/>
        </w:rPr>
        <w:t xml:space="preserve"> se</w:t>
      </w:r>
      <w:r w:rsidR="00C220E2">
        <w:rPr>
          <w:rFonts w:cs="Times New Roman"/>
          <w:color w:val="000000" w:themeColor="text1"/>
          <w:lang w:val="es-CO"/>
        </w:rPr>
        <w:t xml:space="preserve">a privada o estatal, depende </w:t>
      </w:r>
      <w:r w:rsidRPr="001B3EA2">
        <w:rPr>
          <w:rFonts w:cs="Times New Roman"/>
          <w:color w:val="000000" w:themeColor="text1"/>
          <w:lang w:val="es-CO"/>
        </w:rPr>
        <w:t xml:space="preserve">de la naturaleza y la función que la sociedad le asigne. Son </w:t>
      </w:r>
      <w:r w:rsidRPr="001B3EA2">
        <w:rPr>
          <w:rFonts w:cs="Times New Roman"/>
          <w:color w:val="000000" w:themeColor="text1"/>
          <w:lang w:val="es-CO"/>
        </w:rPr>
        <w:lastRenderedPageBreak/>
        <w:t>precisamente estos aspectos, la naturaleza y la funci</w:t>
      </w:r>
      <w:r w:rsidR="00900141" w:rsidRPr="001B3EA2">
        <w:rPr>
          <w:rFonts w:cs="Times New Roman"/>
          <w:color w:val="000000" w:themeColor="text1"/>
          <w:lang w:val="es-CO"/>
        </w:rPr>
        <w:t>ón de instituciones como el</w:t>
      </w:r>
      <w:r w:rsidR="00BF203C">
        <w:rPr>
          <w:rFonts w:cs="Times New Roman"/>
          <w:color w:val="000000" w:themeColor="text1"/>
          <w:lang w:val="es-CO"/>
        </w:rPr>
        <w:t xml:space="preserve"> Estado y</w:t>
      </w:r>
      <w:r w:rsidRPr="001B3EA2">
        <w:rPr>
          <w:rFonts w:cs="Times New Roman"/>
          <w:color w:val="000000" w:themeColor="text1"/>
          <w:lang w:val="es-CO"/>
        </w:rPr>
        <w:t xml:space="preserve"> las empresas, los que se encuentran en redefinición en una sociedad convulsionada ante la crisis tanto de la hegemonía neoliberal –con su definición particular de la naturaleza y la función del Est</w:t>
      </w:r>
      <w:r w:rsidR="005A78CD" w:rsidRPr="001B3EA2">
        <w:rPr>
          <w:rFonts w:cs="Times New Roman"/>
          <w:color w:val="000000" w:themeColor="text1"/>
          <w:lang w:val="es-CO"/>
        </w:rPr>
        <w:t>ado y de las empresas–, como del Estado de bienestar en los países socialdemócratas (</w:t>
      </w:r>
      <w:proofErr w:type="spellStart"/>
      <w:r w:rsidR="005A78CD" w:rsidRPr="001B3EA2">
        <w:rPr>
          <w:rFonts w:cs="Times New Roman"/>
          <w:color w:val="000000" w:themeColor="text1"/>
          <w:lang w:val="es-CO"/>
        </w:rPr>
        <w:t>Midttun</w:t>
      </w:r>
      <w:proofErr w:type="spellEnd"/>
      <w:r w:rsidR="005A78CD" w:rsidRPr="001B3EA2">
        <w:rPr>
          <w:rFonts w:cs="Times New Roman"/>
          <w:color w:val="000000" w:themeColor="text1"/>
          <w:lang w:val="es-CO"/>
        </w:rPr>
        <w:t xml:space="preserve">, 2005), y el Estado socialista. En este último caso, desde 2006 </w:t>
      </w:r>
      <w:r w:rsidR="00EC6C99" w:rsidRPr="001B3EA2">
        <w:rPr>
          <w:rFonts w:cs="Times New Roman"/>
          <w:color w:val="000000" w:themeColor="text1"/>
          <w:lang w:val="es-CO"/>
        </w:rPr>
        <w:t xml:space="preserve">países como </w:t>
      </w:r>
      <w:r w:rsidR="005A78CD" w:rsidRPr="001B3EA2">
        <w:rPr>
          <w:rFonts w:cs="Times New Roman"/>
          <w:color w:val="000000" w:themeColor="text1"/>
          <w:lang w:val="es-CO"/>
        </w:rPr>
        <w:t>China</w:t>
      </w:r>
      <w:r w:rsidRPr="001B3EA2">
        <w:rPr>
          <w:rFonts w:cs="Times New Roman"/>
          <w:color w:val="000000" w:themeColor="text1"/>
          <w:lang w:val="es-CO"/>
        </w:rPr>
        <w:t xml:space="preserve"> </w:t>
      </w:r>
      <w:r w:rsidR="005A78CD" w:rsidRPr="001B3EA2">
        <w:rPr>
          <w:rFonts w:cs="Times New Roman"/>
          <w:color w:val="000000" w:themeColor="text1"/>
          <w:lang w:val="es-CO"/>
        </w:rPr>
        <w:t>se ha</w:t>
      </w:r>
      <w:r w:rsidR="00EC6C99" w:rsidRPr="001B3EA2">
        <w:rPr>
          <w:rFonts w:cs="Times New Roman"/>
          <w:color w:val="000000" w:themeColor="text1"/>
          <w:lang w:val="es-CO"/>
        </w:rPr>
        <w:t>n</w:t>
      </w:r>
      <w:r w:rsidRPr="001B3EA2">
        <w:rPr>
          <w:rFonts w:cs="Times New Roman"/>
          <w:color w:val="000000" w:themeColor="text1"/>
          <w:lang w:val="es-CO"/>
        </w:rPr>
        <w:t xml:space="preserve"> abierto a la búsqueda de fórmulas no dicotómicas en las que las fronteras entre la naturaleza y la función del Estado y las empresas son porosas (Ho, 2013).    </w:t>
      </w:r>
    </w:p>
    <w:p w:rsidR="0034421B" w:rsidRPr="001B3EA2" w:rsidRDefault="0034421B" w:rsidP="009561DB">
      <w:pPr>
        <w:spacing w:after="0"/>
        <w:jc w:val="both"/>
        <w:rPr>
          <w:rFonts w:cs="Times New Roman"/>
          <w:color w:val="000000" w:themeColor="text1"/>
          <w:lang w:val="es-CO"/>
        </w:rPr>
      </w:pPr>
    </w:p>
    <w:p w:rsidR="0087089A" w:rsidRPr="001B3EA2" w:rsidRDefault="0034421B" w:rsidP="009561DB">
      <w:pPr>
        <w:spacing w:after="0"/>
        <w:jc w:val="both"/>
        <w:rPr>
          <w:rFonts w:cs="Times New Roman"/>
          <w:color w:val="000000" w:themeColor="text1"/>
          <w:lang w:val="es-CO"/>
        </w:rPr>
      </w:pPr>
      <w:r w:rsidRPr="001B3EA2">
        <w:rPr>
          <w:rFonts w:cs="Times New Roman"/>
          <w:color w:val="000000" w:themeColor="text1"/>
          <w:lang w:val="es-CO"/>
        </w:rPr>
        <w:t xml:space="preserve">Bajo este </w:t>
      </w:r>
      <w:r w:rsidR="002154E9" w:rsidRPr="001B3EA2">
        <w:rPr>
          <w:rFonts w:cs="Times New Roman"/>
          <w:color w:val="000000" w:themeColor="text1"/>
          <w:lang w:val="es-CO"/>
        </w:rPr>
        <w:t>marco se considera ahora la tipología sociológica integral formulada por</w:t>
      </w:r>
      <w:r w:rsidR="00573B95" w:rsidRPr="001B3EA2">
        <w:rPr>
          <w:rFonts w:cs="Times New Roman"/>
          <w:color w:val="000000" w:themeColor="text1"/>
          <w:lang w:val="es-CO"/>
        </w:rPr>
        <w:t xml:space="preserve"> Garriga &amp;</w:t>
      </w:r>
      <w:r w:rsidR="0087089A" w:rsidRPr="001B3EA2">
        <w:rPr>
          <w:rFonts w:cs="Times New Roman"/>
          <w:color w:val="000000" w:themeColor="text1"/>
          <w:lang w:val="es-CO"/>
        </w:rPr>
        <w:t xml:space="preserve"> Melé</w:t>
      </w:r>
      <w:r w:rsidR="00573B95" w:rsidRPr="001B3EA2">
        <w:rPr>
          <w:rFonts w:cs="Times New Roman"/>
          <w:color w:val="000000" w:themeColor="text1"/>
          <w:lang w:val="es-CO"/>
        </w:rPr>
        <w:t xml:space="preserve"> (2004)</w:t>
      </w:r>
      <w:r w:rsidR="002B7D7D" w:rsidRPr="001B3EA2">
        <w:rPr>
          <w:rFonts w:cs="Times New Roman"/>
          <w:color w:val="000000" w:themeColor="text1"/>
          <w:lang w:val="es-CO"/>
        </w:rPr>
        <w:t xml:space="preserve">, </w:t>
      </w:r>
      <w:r w:rsidR="00AC2173" w:rsidRPr="001B3EA2">
        <w:rPr>
          <w:rFonts w:cs="Times New Roman"/>
          <w:color w:val="000000" w:themeColor="text1"/>
          <w:lang w:val="es-CO"/>
        </w:rPr>
        <w:t>a partir de la cual</w:t>
      </w:r>
      <w:r w:rsidR="0087089A" w:rsidRPr="001B3EA2">
        <w:rPr>
          <w:rFonts w:cs="Times New Roman"/>
          <w:color w:val="000000" w:themeColor="text1"/>
          <w:lang w:val="es-CO"/>
        </w:rPr>
        <w:t xml:space="preserve"> </w:t>
      </w:r>
      <w:r w:rsidR="002B7D7D" w:rsidRPr="001B3EA2">
        <w:rPr>
          <w:rFonts w:cs="Times New Roman"/>
          <w:color w:val="000000" w:themeColor="text1"/>
          <w:lang w:val="es-CO"/>
        </w:rPr>
        <w:t>las investigaciones</w:t>
      </w:r>
      <w:r w:rsidR="0087089A" w:rsidRPr="001B3EA2">
        <w:rPr>
          <w:rFonts w:cs="Times New Roman"/>
          <w:color w:val="000000" w:themeColor="text1"/>
          <w:lang w:val="es-CO"/>
        </w:rPr>
        <w:t xml:space="preserve"> más re</w:t>
      </w:r>
      <w:r w:rsidR="00955773" w:rsidRPr="001B3EA2">
        <w:rPr>
          <w:rFonts w:cs="Times New Roman"/>
          <w:color w:val="000000" w:themeColor="text1"/>
          <w:lang w:val="es-CO"/>
        </w:rPr>
        <w:t>levantes alrededor de la RSE</w:t>
      </w:r>
      <w:r w:rsidR="00B9594A">
        <w:rPr>
          <w:rFonts w:cs="Times New Roman"/>
          <w:color w:val="000000" w:themeColor="text1"/>
          <w:lang w:val="es-CO"/>
        </w:rPr>
        <w:t>,</w:t>
      </w:r>
      <w:r w:rsidR="002B7D7D" w:rsidRPr="001B3EA2">
        <w:rPr>
          <w:rFonts w:cs="Times New Roman"/>
          <w:color w:val="000000" w:themeColor="text1"/>
          <w:lang w:val="es-CO"/>
        </w:rPr>
        <w:t xml:space="preserve"> </w:t>
      </w:r>
      <w:r w:rsidR="00271C53" w:rsidRPr="001B3EA2">
        <w:rPr>
          <w:rFonts w:cs="Times New Roman"/>
          <w:color w:val="000000" w:themeColor="text1"/>
          <w:lang w:val="es-CO"/>
        </w:rPr>
        <w:t xml:space="preserve">producidas </w:t>
      </w:r>
      <w:r w:rsidR="002B7D7D" w:rsidRPr="001B3EA2">
        <w:rPr>
          <w:rFonts w:cs="Times New Roman"/>
          <w:color w:val="000000" w:themeColor="text1"/>
          <w:lang w:val="es-CO"/>
        </w:rPr>
        <w:t>durante las últimas décadas</w:t>
      </w:r>
      <w:r w:rsidR="00271C53" w:rsidRPr="001B3EA2">
        <w:rPr>
          <w:rFonts w:cs="Times New Roman"/>
          <w:color w:val="000000" w:themeColor="text1"/>
          <w:lang w:val="es-CO"/>
        </w:rPr>
        <w:t>,</w:t>
      </w:r>
      <w:r w:rsidR="00955773" w:rsidRPr="001B3EA2">
        <w:rPr>
          <w:rFonts w:cs="Times New Roman"/>
          <w:color w:val="000000" w:themeColor="text1"/>
          <w:lang w:val="es-CO"/>
        </w:rPr>
        <w:t xml:space="preserve"> se</w:t>
      </w:r>
      <w:r w:rsidR="0087089A" w:rsidRPr="001B3EA2">
        <w:rPr>
          <w:rFonts w:cs="Times New Roman"/>
          <w:color w:val="000000" w:themeColor="text1"/>
          <w:lang w:val="es-CO"/>
        </w:rPr>
        <w:t xml:space="preserve"> c</w:t>
      </w:r>
      <w:r w:rsidR="00955773" w:rsidRPr="001B3EA2">
        <w:rPr>
          <w:rFonts w:cs="Times New Roman"/>
          <w:color w:val="000000" w:themeColor="text1"/>
          <w:lang w:val="es-CO"/>
        </w:rPr>
        <w:t>lasifican en</w:t>
      </w:r>
      <w:r w:rsidR="004427DD" w:rsidRPr="001B3EA2">
        <w:rPr>
          <w:rFonts w:cs="Times New Roman"/>
          <w:color w:val="000000" w:themeColor="text1"/>
          <w:lang w:val="es-CO"/>
        </w:rPr>
        <w:t xml:space="preserve"> cuatro</w:t>
      </w:r>
      <w:r w:rsidR="0087089A" w:rsidRPr="001B3EA2">
        <w:rPr>
          <w:rFonts w:cs="Times New Roman"/>
          <w:color w:val="000000" w:themeColor="text1"/>
          <w:lang w:val="es-CO"/>
        </w:rPr>
        <w:t xml:space="preserve"> dimensiones:</w:t>
      </w:r>
      <w:r w:rsidR="00966BAC" w:rsidRPr="001B3EA2">
        <w:rPr>
          <w:rFonts w:cs="Times New Roman"/>
          <w:color w:val="000000" w:themeColor="text1"/>
          <w:lang w:val="es-CO"/>
        </w:rPr>
        <w:t xml:space="preserve"> teorías instrumentales (económicas), teorías políticas, teorías integrativas (culturales) y teorías éticas. </w:t>
      </w:r>
    </w:p>
    <w:p w:rsidR="0087089A" w:rsidRPr="001B3EA2" w:rsidRDefault="0087089A" w:rsidP="009561DB">
      <w:pPr>
        <w:spacing w:after="0"/>
        <w:jc w:val="both"/>
        <w:rPr>
          <w:rFonts w:cs="Times New Roman"/>
          <w:color w:val="000000" w:themeColor="text1"/>
          <w:lang w:val="es-CO"/>
        </w:rPr>
      </w:pPr>
    </w:p>
    <w:p w:rsidR="00176264" w:rsidRPr="001B3EA2" w:rsidRDefault="00D766B3" w:rsidP="009561DB">
      <w:pPr>
        <w:spacing w:after="0"/>
        <w:jc w:val="both"/>
        <w:rPr>
          <w:rFonts w:cs="Times New Roman"/>
          <w:color w:val="000000" w:themeColor="text1"/>
          <w:lang w:val="es-CO"/>
        </w:rPr>
      </w:pPr>
      <w:r w:rsidRPr="001B3EA2">
        <w:rPr>
          <w:rFonts w:cs="Times New Roman"/>
          <w:i/>
          <w:color w:val="000000" w:themeColor="text1"/>
          <w:lang w:val="es-CO"/>
        </w:rPr>
        <w:t>Teorías instrumentales (económicas)</w:t>
      </w:r>
      <w:r w:rsidRPr="001B3EA2">
        <w:rPr>
          <w:rFonts w:cs="Times New Roman"/>
          <w:color w:val="000000" w:themeColor="text1"/>
          <w:lang w:val="es-CO"/>
        </w:rPr>
        <w:t>: l</w:t>
      </w:r>
      <w:r w:rsidR="0087089A" w:rsidRPr="001B3EA2">
        <w:rPr>
          <w:rFonts w:cs="Times New Roman"/>
          <w:color w:val="000000" w:themeColor="text1"/>
          <w:lang w:val="es-CO"/>
        </w:rPr>
        <w:t>a empresa es concebida como un instrumento para la generación de riqueza, y esa es su única responsabilidad social. Cualquier actividad social es aceptada sólo como medio</w:t>
      </w:r>
      <w:r w:rsidR="00691FF5" w:rsidRPr="001B3EA2">
        <w:rPr>
          <w:rFonts w:cs="Times New Roman"/>
          <w:color w:val="000000" w:themeColor="text1"/>
          <w:lang w:val="es-CO"/>
        </w:rPr>
        <w:t xml:space="preserve"> para el fin de generar riqueza</w:t>
      </w:r>
      <w:r w:rsidR="0087089A" w:rsidRPr="001B3EA2">
        <w:rPr>
          <w:rFonts w:cs="Times New Roman"/>
          <w:color w:val="000000" w:themeColor="text1"/>
          <w:lang w:val="es-CO"/>
        </w:rPr>
        <w:t xml:space="preserve"> </w:t>
      </w:r>
      <w:r w:rsidR="007439DC" w:rsidRPr="001B3EA2">
        <w:rPr>
          <w:rFonts w:cs="Times New Roman"/>
          <w:color w:val="000000" w:themeColor="text1"/>
          <w:lang w:val="es-CO"/>
        </w:rPr>
        <w:t>(Friedman, 1970</w:t>
      </w:r>
      <w:r w:rsidR="00613F4A" w:rsidRPr="001B3EA2">
        <w:rPr>
          <w:rFonts w:cs="Times New Roman"/>
          <w:color w:val="000000" w:themeColor="text1"/>
          <w:lang w:val="es-CO"/>
        </w:rPr>
        <w:t xml:space="preserve">; </w:t>
      </w:r>
      <w:proofErr w:type="spellStart"/>
      <w:r w:rsidR="008D1CF7" w:rsidRPr="001B3EA2">
        <w:rPr>
          <w:rFonts w:cs="Times New Roman"/>
          <w:color w:val="000000" w:themeColor="text1"/>
          <w:lang w:val="es-CO"/>
        </w:rPr>
        <w:t>Prahalad</w:t>
      </w:r>
      <w:proofErr w:type="spellEnd"/>
      <w:r w:rsidR="008D1CF7" w:rsidRPr="001B3EA2">
        <w:rPr>
          <w:rFonts w:cs="Times New Roman"/>
          <w:color w:val="000000" w:themeColor="text1"/>
          <w:lang w:val="es-CO"/>
        </w:rPr>
        <w:t xml:space="preserve"> &amp; </w:t>
      </w:r>
      <w:proofErr w:type="spellStart"/>
      <w:r w:rsidR="008D1CF7" w:rsidRPr="001B3EA2">
        <w:rPr>
          <w:rFonts w:cs="Times New Roman"/>
          <w:color w:val="000000" w:themeColor="text1"/>
          <w:lang w:val="es-CO"/>
        </w:rPr>
        <w:t>Hammond</w:t>
      </w:r>
      <w:proofErr w:type="spellEnd"/>
      <w:r w:rsidR="008D1CF7" w:rsidRPr="001B3EA2">
        <w:rPr>
          <w:rFonts w:cs="Times New Roman"/>
          <w:color w:val="000000" w:themeColor="text1"/>
          <w:lang w:val="es-CO"/>
        </w:rPr>
        <w:t xml:space="preserve">, 2002; </w:t>
      </w:r>
      <w:proofErr w:type="spellStart"/>
      <w:r w:rsidR="008D1CF7" w:rsidRPr="001B3EA2">
        <w:rPr>
          <w:rFonts w:cs="Times New Roman"/>
          <w:color w:val="000000" w:themeColor="text1"/>
          <w:lang w:val="es-CO"/>
        </w:rPr>
        <w:t>Varadarajan</w:t>
      </w:r>
      <w:proofErr w:type="spellEnd"/>
      <w:r w:rsidR="008D1CF7" w:rsidRPr="001B3EA2">
        <w:rPr>
          <w:rFonts w:cs="Times New Roman"/>
          <w:color w:val="000000" w:themeColor="text1"/>
          <w:lang w:val="es-CO"/>
        </w:rPr>
        <w:t xml:space="preserve"> &amp; </w:t>
      </w:r>
      <w:proofErr w:type="spellStart"/>
      <w:r w:rsidR="008D1CF7" w:rsidRPr="001B3EA2">
        <w:rPr>
          <w:rFonts w:cs="Times New Roman"/>
          <w:color w:val="000000" w:themeColor="text1"/>
          <w:lang w:val="es-CO"/>
        </w:rPr>
        <w:t>Menon</w:t>
      </w:r>
      <w:proofErr w:type="spellEnd"/>
      <w:r w:rsidR="008D1CF7" w:rsidRPr="001B3EA2">
        <w:rPr>
          <w:rFonts w:cs="Times New Roman"/>
          <w:color w:val="000000" w:themeColor="text1"/>
          <w:lang w:val="es-CO"/>
        </w:rPr>
        <w:t xml:space="preserve">, 1988; </w:t>
      </w:r>
      <w:proofErr w:type="spellStart"/>
      <w:r w:rsidR="008D1CF7" w:rsidRPr="001B3EA2">
        <w:rPr>
          <w:rFonts w:cs="Times New Roman"/>
          <w:color w:val="000000" w:themeColor="text1"/>
          <w:lang w:val="es-CO"/>
        </w:rPr>
        <w:t>Porter</w:t>
      </w:r>
      <w:proofErr w:type="spellEnd"/>
      <w:r w:rsidR="008D1CF7" w:rsidRPr="001B3EA2">
        <w:rPr>
          <w:rFonts w:cs="Times New Roman"/>
          <w:color w:val="000000" w:themeColor="text1"/>
          <w:lang w:val="es-CO"/>
        </w:rPr>
        <w:t xml:space="preserve"> &amp;</w:t>
      </w:r>
      <w:r w:rsidR="007439DC" w:rsidRPr="001B3EA2">
        <w:rPr>
          <w:rFonts w:cs="Times New Roman"/>
          <w:color w:val="000000" w:themeColor="text1"/>
          <w:lang w:val="es-CO"/>
        </w:rPr>
        <w:t xml:space="preserve"> </w:t>
      </w:r>
      <w:proofErr w:type="spellStart"/>
      <w:r w:rsidR="007439DC" w:rsidRPr="001B3EA2">
        <w:rPr>
          <w:rFonts w:cs="Times New Roman"/>
          <w:color w:val="000000" w:themeColor="text1"/>
          <w:lang w:val="es-CO"/>
        </w:rPr>
        <w:t>Kramer</w:t>
      </w:r>
      <w:proofErr w:type="spellEnd"/>
      <w:r w:rsidR="007439DC" w:rsidRPr="001B3EA2">
        <w:rPr>
          <w:rFonts w:cs="Times New Roman"/>
          <w:color w:val="000000" w:themeColor="text1"/>
          <w:lang w:val="es-CO"/>
        </w:rPr>
        <w:t xml:space="preserve">, </w:t>
      </w:r>
      <w:r w:rsidR="008D1CF7" w:rsidRPr="001B3EA2">
        <w:rPr>
          <w:rFonts w:cs="Times New Roman"/>
          <w:color w:val="000000" w:themeColor="text1"/>
          <w:lang w:val="es-CO"/>
        </w:rPr>
        <w:t>201</w:t>
      </w:r>
      <w:r w:rsidR="007439DC" w:rsidRPr="001B3EA2">
        <w:rPr>
          <w:rFonts w:cs="Times New Roman"/>
          <w:color w:val="000000" w:themeColor="text1"/>
          <w:lang w:val="es-CO"/>
        </w:rPr>
        <w:t xml:space="preserve">). </w:t>
      </w:r>
      <w:r w:rsidR="00176264" w:rsidRPr="001B3EA2">
        <w:rPr>
          <w:rFonts w:cs="Times New Roman"/>
          <w:color w:val="000000" w:themeColor="text1"/>
          <w:lang w:val="es-CO"/>
        </w:rPr>
        <w:t>En el caso de</w:t>
      </w:r>
      <w:r w:rsidR="007439DC" w:rsidRPr="001B3EA2">
        <w:rPr>
          <w:rFonts w:cs="Times New Roman"/>
          <w:color w:val="000000" w:themeColor="text1"/>
          <w:lang w:val="es-CO"/>
        </w:rPr>
        <w:t xml:space="preserve"> </w:t>
      </w:r>
      <w:r w:rsidR="00176264" w:rsidRPr="001B3EA2">
        <w:rPr>
          <w:rFonts w:cs="Times New Roman"/>
          <w:color w:val="000000" w:themeColor="text1"/>
          <w:lang w:val="es-CO"/>
        </w:rPr>
        <w:t xml:space="preserve">la responsabilidad social de empresas estatales, Bo, Li y </w:t>
      </w:r>
      <w:proofErr w:type="spellStart"/>
      <w:r w:rsidR="00176264" w:rsidRPr="001B3EA2">
        <w:rPr>
          <w:rFonts w:cs="Times New Roman"/>
          <w:color w:val="000000" w:themeColor="text1"/>
          <w:lang w:val="es-CO"/>
        </w:rPr>
        <w:t>Toolsema</w:t>
      </w:r>
      <w:proofErr w:type="spellEnd"/>
      <w:r w:rsidR="00176264" w:rsidRPr="001B3EA2">
        <w:rPr>
          <w:rFonts w:cs="Times New Roman"/>
          <w:color w:val="000000" w:themeColor="text1"/>
          <w:lang w:val="es-CO"/>
        </w:rPr>
        <w:t xml:space="preserve"> (2009) ven este fenómeno como una estrategia de</w:t>
      </w:r>
      <w:r w:rsidR="008D1CF7" w:rsidRPr="001B3EA2">
        <w:rPr>
          <w:rFonts w:cs="Times New Roman"/>
          <w:color w:val="000000" w:themeColor="text1"/>
          <w:lang w:val="es-CO"/>
        </w:rPr>
        <w:t xml:space="preserve"> </w:t>
      </w:r>
      <w:r w:rsidR="00176264" w:rsidRPr="001B3EA2">
        <w:rPr>
          <w:rFonts w:cs="Times New Roman"/>
          <w:color w:val="000000" w:themeColor="text1"/>
          <w:lang w:val="es-CO"/>
        </w:rPr>
        <w:t>l</w:t>
      </w:r>
      <w:r w:rsidR="008D1CF7" w:rsidRPr="001B3EA2">
        <w:rPr>
          <w:rFonts w:cs="Times New Roman"/>
          <w:color w:val="000000" w:themeColor="text1"/>
          <w:lang w:val="es-CO"/>
        </w:rPr>
        <w:t>os</w:t>
      </w:r>
      <w:r w:rsidR="00176264" w:rsidRPr="001B3EA2">
        <w:rPr>
          <w:rFonts w:cs="Times New Roman"/>
          <w:color w:val="000000" w:themeColor="text1"/>
          <w:lang w:val="es-CO"/>
        </w:rPr>
        <w:t xml:space="preserve"> gobierno</w:t>
      </w:r>
      <w:r w:rsidR="008D1CF7" w:rsidRPr="001B3EA2">
        <w:rPr>
          <w:rFonts w:cs="Times New Roman"/>
          <w:color w:val="000000" w:themeColor="text1"/>
          <w:lang w:val="es-CO"/>
        </w:rPr>
        <w:t>s en</w:t>
      </w:r>
      <w:r w:rsidR="00176264" w:rsidRPr="001B3EA2">
        <w:rPr>
          <w:rFonts w:cs="Times New Roman"/>
          <w:color w:val="000000" w:themeColor="text1"/>
          <w:lang w:val="es-CO"/>
        </w:rPr>
        <w:t xml:space="preserve"> </w:t>
      </w:r>
      <w:r w:rsidR="008D1CF7" w:rsidRPr="001B3EA2">
        <w:rPr>
          <w:rFonts w:cs="Times New Roman"/>
          <w:color w:val="000000" w:themeColor="text1"/>
          <w:lang w:val="es-CO"/>
        </w:rPr>
        <w:t>proceso de transición hacia el libre mercado</w:t>
      </w:r>
      <w:r w:rsidR="00D06446" w:rsidRPr="001B3EA2">
        <w:rPr>
          <w:rFonts w:cs="Times New Roman"/>
          <w:color w:val="000000" w:themeColor="text1"/>
          <w:lang w:val="es-CO"/>
        </w:rPr>
        <w:t xml:space="preserve"> (como suponen que lo es China)</w:t>
      </w:r>
      <w:r w:rsidR="008D1CF7" w:rsidRPr="001B3EA2">
        <w:rPr>
          <w:rFonts w:cs="Times New Roman"/>
          <w:color w:val="000000" w:themeColor="text1"/>
          <w:lang w:val="es-CO"/>
        </w:rPr>
        <w:t xml:space="preserve">, como una estrategia </w:t>
      </w:r>
      <w:r w:rsidR="00176264" w:rsidRPr="001B3EA2">
        <w:rPr>
          <w:rFonts w:cs="Times New Roman"/>
          <w:color w:val="000000" w:themeColor="text1"/>
          <w:lang w:val="es-CO"/>
        </w:rPr>
        <w:t>par</w:t>
      </w:r>
      <w:r w:rsidR="008D1CF7" w:rsidRPr="001B3EA2">
        <w:rPr>
          <w:rFonts w:cs="Times New Roman"/>
          <w:color w:val="000000" w:themeColor="text1"/>
          <w:lang w:val="es-CO"/>
        </w:rPr>
        <w:t xml:space="preserve">a cubrir las demandas sociales </w:t>
      </w:r>
      <w:r w:rsidR="00176264" w:rsidRPr="001B3EA2">
        <w:rPr>
          <w:rFonts w:cs="Times New Roman"/>
          <w:color w:val="000000" w:themeColor="text1"/>
          <w:lang w:val="es-CO"/>
        </w:rPr>
        <w:t>y así propender por la estabilidad social</w:t>
      </w:r>
      <w:r w:rsidR="008D1CF7" w:rsidRPr="001B3EA2">
        <w:rPr>
          <w:rFonts w:cs="Times New Roman"/>
          <w:color w:val="000000" w:themeColor="text1"/>
          <w:lang w:val="es-CO"/>
        </w:rPr>
        <w:t xml:space="preserve"> </w:t>
      </w:r>
      <w:r w:rsidR="008D1CF7" w:rsidRPr="001B3EA2">
        <w:rPr>
          <w:rFonts w:cs="Times New Roman"/>
          <w:i/>
          <w:color w:val="000000" w:themeColor="text1"/>
          <w:lang w:val="es-CO"/>
        </w:rPr>
        <w:t xml:space="preserve">mientras </w:t>
      </w:r>
      <w:r w:rsidR="008D1CF7" w:rsidRPr="001B3EA2">
        <w:rPr>
          <w:rFonts w:cs="Times New Roman"/>
          <w:color w:val="000000" w:themeColor="text1"/>
          <w:lang w:val="es-CO"/>
        </w:rPr>
        <w:t xml:space="preserve">concluye dicho proceso. </w:t>
      </w:r>
      <w:r w:rsidR="00176264" w:rsidRPr="001B3EA2">
        <w:rPr>
          <w:rFonts w:cs="Times New Roman"/>
          <w:color w:val="000000" w:themeColor="text1"/>
          <w:lang w:val="es-CO"/>
        </w:rPr>
        <w:t xml:space="preserve"> </w:t>
      </w:r>
    </w:p>
    <w:p w:rsidR="0087089A" w:rsidRPr="001B3EA2" w:rsidRDefault="0087089A" w:rsidP="009561DB">
      <w:pPr>
        <w:spacing w:after="0"/>
        <w:jc w:val="both"/>
        <w:rPr>
          <w:rFonts w:cs="Times New Roman"/>
          <w:color w:val="000000" w:themeColor="text1"/>
          <w:lang w:val="es-CO"/>
        </w:rPr>
      </w:pPr>
    </w:p>
    <w:p w:rsidR="00A77E66" w:rsidRPr="001B3EA2" w:rsidRDefault="00D766B3" w:rsidP="009561DB">
      <w:pPr>
        <w:spacing w:after="0"/>
        <w:jc w:val="both"/>
        <w:rPr>
          <w:rFonts w:cs="Times New Roman"/>
          <w:color w:val="000000" w:themeColor="text1"/>
          <w:lang w:val="es-CO"/>
        </w:rPr>
      </w:pPr>
      <w:r w:rsidRPr="001B3EA2">
        <w:rPr>
          <w:rFonts w:cs="Times New Roman"/>
          <w:i/>
          <w:color w:val="000000" w:themeColor="text1"/>
          <w:lang w:val="es-CO"/>
        </w:rPr>
        <w:t>Teorías p</w:t>
      </w:r>
      <w:r w:rsidR="0087089A" w:rsidRPr="001B3EA2">
        <w:rPr>
          <w:rFonts w:cs="Times New Roman"/>
          <w:i/>
          <w:color w:val="000000" w:themeColor="text1"/>
          <w:lang w:val="es-CO"/>
        </w:rPr>
        <w:t>olítica</w:t>
      </w:r>
      <w:r w:rsidRPr="001B3EA2">
        <w:rPr>
          <w:rFonts w:cs="Times New Roman"/>
          <w:i/>
          <w:color w:val="000000" w:themeColor="text1"/>
          <w:lang w:val="es-CO"/>
        </w:rPr>
        <w:t>s</w:t>
      </w:r>
      <w:r w:rsidR="0087089A" w:rsidRPr="001B3EA2">
        <w:rPr>
          <w:rFonts w:cs="Times New Roman"/>
          <w:color w:val="000000" w:themeColor="text1"/>
          <w:lang w:val="es-CO"/>
        </w:rPr>
        <w:t>: enfatiza</w:t>
      </w:r>
      <w:r w:rsidR="00E40FED" w:rsidRPr="001B3EA2">
        <w:rPr>
          <w:rFonts w:cs="Times New Roman"/>
          <w:color w:val="000000" w:themeColor="text1"/>
          <w:lang w:val="es-CO"/>
        </w:rPr>
        <w:t>n</w:t>
      </w:r>
      <w:r w:rsidR="002B3373" w:rsidRPr="001B3EA2">
        <w:rPr>
          <w:rFonts w:cs="Times New Roman"/>
          <w:color w:val="000000" w:themeColor="text1"/>
          <w:lang w:val="es-CO"/>
        </w:rPr>
        <w:t xml:space="preserve"> las relaciones de</w:t>
      </w:r>
      <w:r w:rsidR="0087089A" w:rsidRPr="001B3EA2">
        <w:rPr>
          <w:rFonts w:cs="Times New Roman"/>
          <w:color w:val="000000" w:themeColor="text1"/>
          <w:lang w:val="es-CO"/>
        </w:rPr>
        <w:t xml:space="preserve"> poder y la responsabilidad social de </w:t>
      </w:r>
      <w:r w:rsidR="00D2693B" w:rsidRPr="001B3EA2">
        <w:rPr>
          <w:rFonts w:cs="Times New Roman"/>
          <w:color w:val="000000" w:themeColor="text1"/>
          <w:lang w:val="es-CO"/>
        </w:rPr>
        <w:t xml:space="preserve">la empresa en la arena política, </w:t>
      </w:r>
      <w:r w:rsidR="0087089A" w:rsidRPr="001B3EA2">
        <w:rPr>
          <w:rFonts w:cs="Times New Roman"/>
          <w:color w:val="000000" w:themeColor="text1"/>
          <w:lang w:val="es-CO"/>
        </w:rPr>
        <w:t>en</w:t>
      </w:r>
      <w:r w:rsidR="00A77E66" w:rsidRPr="001B3EA2">
        <w:rPr>
          <w:rFonts w:cs="Times New Roman"/>
          <w:color w:val="000000" w:themeColor="text1"/>
          <w:lang w:val="es-CO"/>
        </w:rPr>
        <w:t xml:space="preserve"> términos de derechos y deberes</w:t>
      </w:r>
      <w:r w:rsidR="007439DC" w:rsidRPr="001B3EA2">
        <w:rPr>
          <w:rFonts w:cs="Times New Roman"/>
          <w:color w:val="000000" w:themeColor="text1"/>
          <w:lang w:val="es-CO"/>
        </w:rPr>
        <w:t xml:space="preserve"> (Davis, 1960</w:t>
      </w:r>
      <w:r w:rsidR="00A77E66" w:rsidRPr="001B3EA2">
        <w:rPr>
          <w:rFonts w:cs="Times New Roman"/>
          <w:color w:val="000000" w:themeColor="text1"/>
          <w:lang w:val="es-CO"/>
        </w:rPr>
        <w:t xml:space="preserve">; </w:t>
      </w:r>
      <w:proofErr w:type="spellStart"/>
      <w:r w:rsidR="007439DC" w:rsidRPr="001B3EA2">
        <w:rPr>
          <w:rFonts w:cs="Times New Roman"/>
          <w:color w:val="000000" w:themeColor="text1"/>
          <w:lang w:val="es-CO"/>
        </w:rPr>
        <w:t>Donaldson</w:t>
      </w:r>
      <w:proofErr w:type="spellEnd"/>
      <w:r w:rsidR="007439DC" w:rsidRPr="001B3EA2">
        <w:rPr>
          <w:rFonts w:cs="Times New Roman"/>
          <w:color w:val="000000" w:themeColor="text1"/>
          <w:lang w:val="es-CO"/>
        </w:rPr>
        <w:t xml:space="preserve"> &amp; </w:t>
      </w:r>
      <w:proofErr w:type="spellStart"/>
      <w:r w:rsidR="007439DC" w:rsidRPr="001B3EA2">
        <w:rPr>
          <w:rFonts w:cs="Times New Roman"/>
          <w:color w:val="000000" w:themeColor="text1"/>
          <w:lang w:val="es-CO"/>
        </w:rPr>
        <w:t>Dunfee</w:t>
      </w:r>
      <w:proofErr w:type="spellEnd"/>
      <w:r w:rsidR="007439DC" w:rsidRPr="001B3EA2">
        <w:rPr>
          <w:rFonts w:cs="Times New Roman"/>
          <w:color w:val="000000" w:themeColor="text1"/>
          <w:lang w:val="es-CO"/>
        </w:rPr>
        <w:t>, 1994</w:t>
      </w:r>
      <w:r w:rsidR="00A77E66" w:rsidRPr="001B3EA2">
        <w:rPr>
          <w:rFonts w:cs="Times New Roman"/>
          <w:color w:val="000000" w:themeColor="text1"/>
          <w:lang w:val="es-CO"/>
        </w:rPr>
        <w:t xml:space="preserve">; </w:t>
      </w:r>
      <w:r w:rsidR="007439DC" w:rsidRPr="001B3EA2">
        <w:rPr>
          <w:rFonts w:cs="Times New Roman"/>
          <w:color w:val="000000" w:themeColor="text1"/>
          <w:lang w:val="es-CO"/>
        </w:rPr>
        <w:t xml:space="preserve">Wood &amp; </w:t>
      </w:r>
      <w:proofErr w:type="spellStart"/>
      <w:r w:rsidR="007439DC" w:rsidRPr="001B3EA2">
        <w:rPr>
          <w:rFonts w:cs="Times New Roman"/>
          <w:color w:val="000000" w:themeColor="text1"/>
          <w:lang w:val="es-CO"/>
        </w:rPr>
        <w:t>Lodgson</w:t>
      </w:r>
      <w:proofErr w:type="spellEnd"/>
      <w:r w:rsidR="007439DC" w:rsidRPr="001B3EA2">
        <w:rPr>
          <w:rFonts w:cs="Times New Roman"/>
          <w:color w:val="000000" w:themeColor="text1"/>
          <w:lang w:val="es-CO"/>
        </w:rPr>
        <w:t>, 2002</w:t>
      </w:r>
      <w:r w:rsidR="001C3FD0" w:rsidRPr="001B3EA2">
        <w:rPr>
          <w:rFonts w:cs="Times New Roman"/>
          <w:color w:val="000000" w:themeColor="text1"/>
          <w:lang w:val="es-CO"/>
        </w:rPr>
        <w:t xml:space="preserve">; </w:t>
      </w:r>
      <w:proofErr w:type="spellStart"/>
      <w:r w:rsidR="001C3FD0" w:rsidRPr="001B3EA2">
        <w:rPr>
          <w:rFonts w:cs="Times New Roman"/>
          <w:color w:val="000000" w:themeColor="text1"/>
          <w:lang w:val="es-CO"/>
        </w:rPr>
        <w:t>Whelan</w:t>
      </w:r>
      <w:proofErr w:type="spellEnd"/>
      <w:r w:rsidR="001C3FD0" w:rsidRPr="001B3EA2">
        <w:rPr>
          <w:rFonts w:cs="Times New Roman"/>
          <w:color w:val="000000" w:themeColor="text1"/>
          <w:lang w:val="es-CO"/>
        </w:rPr>
        <w:t>, 2012</w:t>
      </w:r>
      <w:r w:rsidR="007439DC" w:rsidRPr="001B3EA2">
        <w:rPr>
          <w:rFonts w:cs="Times New Roman"/>
          <w:color w:val="000000" w:themeColor="text1"/>
          <w:lang w:val="es-CO"/>
        </w:rPr>
        <w:t xml:space="preserve">). </w:t>
      </w:r>
      <w:r w:rsidR="00A77E66" w:rsidRPr="001B3EA2">
        <w:rPr>
          <w:rFonts w:cs="Times New Roman"/>
          <w:color w:val="000000" w:themeColor="text1"/>
          <w:lang w:val="es-CO"/>
        </w:rPr>
        <w:t xml:space="preserve">En cuanto a la responsabilidad social de empresas estatales, Ho (2013) establece </w:t>
      </w:r>
      <w:r w:rsidR="00A77E66" w:rsidRPr="00970EEA">
        <w:rPr>
          <w:rFonts w:cs="Times New Roman"/>
          <w:color w:val="000000" w:themeColor="text1"/>
          <w:lang w:val="es-CO"/>
        </w:rPr>
        <w:t xml:space="preserve">una </w:t>
      </w:r>
      <w:r w:rsidR="005E565A" w:rsidRPr="00970EEA">
        <w:rPr>
          <w:rFonts w:cs="Times New Roman"/>
          <w:color w:val="000000" w:themeColor="text1"/>
          <w:lang w:val="es-CO"/>
        </w:rPr>
        <w:t>tipología</w:t>
      </w:r>
      <w:r w:rsidR="00A77E66" w:rsidRPr="001B3EA2">
        <w:rPr>
          <w:rFonts w:cs="Times New Roman"/>
          <w:color w:val="000000" w:themeColor="text1"/>
          <w:lang w:val="es-CO"/>
        </w:rPr>
        <w:t xml:space="preserve"> del rol que </w:t>
      </w:r>
      <w:r w:rsidR="008A44C9" w:rsidRPr="001B3EA2">
        <w:rPr>
          <w:rFonts w:cs="Times New Roman"/>
          <w:color w:val="000000" w:themeColor="text1"/>
          <w:lang w:val="es-CO"/>
        </w:rPr>
        <w:t>a</w:t>
      </w:r>
      <w:r w:rsidR="00A77E66" w:rsidRPr="001B3EA2">
        <w:rPr>
          <w:rFonts w:cs="Times New Roman"/>
          <w:color w:val="000000" w:themeColor="text1"/>
          <w:lang w:val="es-CO"/>
        </w:rPr>
        <w:t xml:space="preserve">sume el Estado frente a este fenómeno, a partir de la comparación de los casos de China, Estados Unidos y la Unión Europea, así: </w:t>
      </w:r>
    </w:p>
    <w:p w:rsidR="002A37B4" w:rsidRPr="001B3EA2" w:rsidRDefault="002A37B4" w:rsidP="009561DB">
      <w:pPr>
        <w:autoSpaceDE w:val="0"/>
        <w:autoSpaceDN w:val="0"/>
        <w:adjustRightInd w:val="0"/>
        <w:spacing w:after="0"/>
        <w:jc w:val="both"/>
        <w:rPr>
          <w:rFonts w:cs="Times New Roman"/>
          <w:color w:val="000000" w:themeColor="text1"/>
          <w:u w:val="single"/>
          <w:lang w:val="es-CO"/>
        </w:rPr>
      </w:pPr>
    </w:p>
    <w:p w:rsidR="00A77E66" w:rsidRPr="001B3EA2" w:rsidRDefault="00F6106A" w:rsidP="009561DB">
      <w:pPr>
        <w:autoSpaceDE w:val="0"/>
        <w:autoSpaceDN w:val="0"/>
        <w:adjustRightInd w:val="0"/>
        <w:spacing w:after="0"/>
        <w:jc w:val="both"/>
        <w:rPr>
          <w:rFonts w:cs="Times New Roman"/>
          <w:color w:val="000000" w:themeColor="text1"/>
          <w:u w:val="single"/>
          <w:lang w:val="es-CO"/>
        </w:rPr>
      </w:pPr>
      <w:r>
        <w:rPr>
          <w:rFonts w:cs="Times New Roman"/>
          <w:color w:val="000000" w:themeColor="text1"/>
          <w:u w:val="single"/>
          <w:lang w:val="es-CO"/>
        </w:rPr>
        <w:t>Tabla 2</w:t>
      </w:r>
      <w:r w:rsidR="00A77E66" w:rsidRPr="001B3EA2">
        <w:rPr>
          <w:rFonts w:cs="Times New Roman"/>
          <w:color w:val="000000" w:themeColor="text1"/>
          <w:u w:val="single"/>
          <w:lang w:val="es-CO"/>
        </w:rPr>
        <w:t xml:space="preserve">. Ejemplos de distintos roles estatales ante la RSE según modelo político-económico. </w:t>
      </w:r>
    </w:p>
    <w:tbl>
      <w:tblPr>
        <w:tblStyle w:val="Tablaconcuadrcula"/>
        <w:tblW w:w="0" w:type="auto"/>
        <w:tblLook w:val="04A0" w:firstRow="1" w:lastRow="0" w:firstColumn="1" w:lastColumn="0" w:noHBand="0" w:noVBand="1"/>
      </w:tblPr>
      <w:tblGrid>
        <w:gridCol w:w="1242"/>
        <w:gridCol w:w="1843"/>
        <w:gridCol w:w="1701"/>
        <w:gridCol w:w="1985"/>
        <w:gridCol w:w="2207"/>
      </w:tblGrid>
      <w:tr w:rsidR="001B3EA2" w:rsidRPr="001B3EA2" w:rsidTr="00B306F1">
        <w:tc>
          <w:tcPr>
            <w:tcW w:w="1242" w:type="dxa"/>
          </w:tcPr>
          <w:p w:rsidR="00BC74FE" w:rsidRPr="001B3EA2" w:rsidRDefault="00BC74FE" w:rsidP="009561DB">
            <w:pPr>
              <w:autoSpaceDE w:val="0"/>
              <w:autoSpaceDN w:val="0"/>
              <w:adjustRightInd w:val="0"/>
              <w:jc w:val="both"/>
              <w:rPr>
                <w:rFonts w:cs="Times New Roman"/>
                <w:color w:val="000000" w:themeColor="text1"/>
                <w:u w:val="single"/>
                <w:lang w:val="es-CO"/>
              </w:rPr>
            </w:pPr>
          </w:p>
        </w:tc>
        <w:tc>
          <w:tcPr>
            <w:tcW w:w="1843" w:type="dxa"/>
          </w:tcPr>
          <w:p w:rsidR="00BC74FE" w:rsidRPr="001B3EA2" w:rsidRDefault="00BC74FE" w:rsidP="009561DB">
            <w:pPr>
              <w:jc w:val="both"/>
              <w:rPr>
                <w:rFonts w:cs="Times New Roman"/>
                <w:color w:val="000000" w:themeColor="text1"/>
                <w:lang w:val="es-CO"/>
              </w:rPr>
            </w:pPr>
            <w:r w:rsidRPr="001B3EA2">
              <w:rPr>
                <w:rFonts w:cs="Times New Roman"/>
                <w:b/>
                <w:bCs/>
                <w:color w:val="000000" w:themeColor="text1"/>
                <w:lang w:val="es-ES"/>
              </w:rPr>
              <w:t>Modelo centrado en el mercado</w:t>
            </w:r>
          </w:p>
        </w:tc>
        <w:tc>
          <w:tcPr>
            <w:tcW w:w="1701" w:type="dxa"/>
          </w:tcPr>
          <w:p w:rsidR="00BC74FE" w:rsidRPr="001B3EA2" w:rsidRDefault="00BC74FE" w:rsidP="009561DB">
            <w:pPr>
              <w:jc w:val="both"/>
              <w:rPr>
                <w:rFonts w:cs="Times New Roman"/>
                <w:color w:val="000000" w:themeColor="text1"/>
              </w:rPr>
            </w:pPr>
            <w:r w:rsidRPr="001B3EA2">
              <w:rPr>
                <w:rFonts w:cs="Times New Roman"/>
                <w:b/>
                <w:bCs/>
                <w:color w:val="000000" w:themeColor="text1"/>
                <w:lang w:val="es-ES"/>
              </w:rPr>
              <w:t xml:space="preserve">Modelo </w:t>
            </w:r>
          </w:p>
          <w:p w:rsidR="00BC74FE" w:rsidRPr="001B3EA2" w:rsidRDefault="00BC74FE" w:rsidP="009561DB">
            <w:pPr>
              <w:jc w:val="both"/>
              <w:rPr>
                <w:rFonts w:cs="Times New Roman"/>
                <w:color w:val="000000" w:themeColor="text1"/>
              </w:rPr>
            </w:pPr>
            <w:r w:rsidRPr="001B3EA2">
              <w:rPr>
                <w:rFonts w:cs="Times New Roman"/>
                <w:b/>
                <w:bCs/>
                <w:color w:val="000000" w:themeColor="text1"/>
                <w:lang w:val="es-ES"/>
              </w:rPr>
              <w:t>Relacional</w:t>
            </w:r>
          </w:p>
        </w:tc>
        <w:tc>
          <w:tcPr>
            <w:tcW w:w="1985" w:type="dxa"/>
          </w:tcPr>
          <w:p w:rsidR="00BC74FE" w:rsidRPr="001B3EA2" w:rsidRDefault="00BC74FE" w:rsidP="009561DB">
            <w:pPr>
              <w:jc w:val="both"/>
              <w:rPr>
                <w:rFonts w:cs="Times New Roman"/>
                <w:color w:val="000000" w:themeColor="text1"/>
                <w:lang w:val="es-CO"/>
              </w:rPr>
            </w:pPr>
            <w:r w:rsidRPr="001B3EA2">
              <w:rPr>
                <w:rFonts w:cs="Times New Roman"/>
                <w:b/>
                <w:bCs/>
                <w:color w:val="000000" w:themeColor="text1"/>
                <w:lang w:val="es-ES"/>
              </w:rPr>
              <w:t>Modelo centrado en el Estado</w:t>
            </w:r>
          </w:p>
        </w:tc>
        <w:tc>
          <w:tcPr>
            <w:tcW w:w="2207" w:type="dxa"/>
          </w:tcPr>
          <w:p w:rsidR="00BC74FE" w:rsidRPr="001B3EA2" w:rsidRDefault="00BC74FE" w:rsidP="009561DB">
            <w:pPr>
              <w:jc w:val="both"/>
              <w:rPr>
                <w:rFonts w:cs="Times New Roman"/>
                <w:color w:val="000000" w:themeColor="text1"/>
              </w:rPr>
            </w:pPr>
            <w:r w:rsidRPr="001B3EA2">
              <w:rPr>
                <w:rFonts w:cs="Times New Roman"/>
                <w:b/>
                <w:bCs/>
                <w:color w:val="000000" w:themeColor="text1"/>
                <w:lang w:val="es-ES"/>
              </w:rPr>
              <w:t>Modelo socialista</w:t>
            </w:r>
          </w:p>
        </w:tc>
      </w:tr>
      <w:tr w:rsidR="001B3EA2" w:rsidRPr="001B3EA2" w:rsidTr="00B306F1">
        <w:tc>
          <w:tcPr>
            <w:tcW w:w="1242" w:type="dxa"/>
          </w:tcPr>
          <w:p w:rsidR="00B306F1" w:rsidRPr="001B3EA2" w:rsidRDefault="00B306F1" w:rsidP="009561DB">
            <w:pPr>
              <w:autoSpaceDE w:val="0"/>
              <w:autoSpaceDN w:val="0"/>
              <w:adjustRightInd w:val="0"/>
              <w:jc w:val="both"/>
              <w:rPr>
                <w:rFonts w:cs="Times New Roman"/>
                <w:color w:val="000000" w:themeColor="text1"/>
                <w:u w:val="single"/>
                <w:lang w:val="es-CO"/>
              </w:rPr>
            </w:pPr>
            <w:r w:rsidRPr="001B3EA2">
              <w:rPr>
                <w:rFonts w:cs="Times New Roman"/>
                <w:color w:val="000000" w:themeColor="text1"/>
                <w:lang w:val="es-ES"/>
              </w:rPr>
              <w:t>Ejemplo</w:t>
            </w:r>
          </w:p>
        </w:tc>
        <w:tc>
          <w:tcPr>
            <w:tcW w:w="7736" w:type="dxa"/>
            <w:gridSpan w:val="4"/>
          </w:tcPr>
          <w:p w:rsidR="00B306F1" w:rsidRPr="001B3EA2" w:rsidRDefault="00B306F1" w:rsidP="009561DB">
            <w:pPr>
              <w:autoSpaceDE w:val="0"/>
              <w:autoSpaceDN w:val="0"/>
              <w:adjustRightInd w:val="0"/>
              <w:jc w:val="both"/>
              <w:rPr>
                <w:rFonts w:cs="Times New Roman"/>
                <w:color w:val="000000" w:themeColor="text1"/>
                <w:lang w:val="es-ES"/>
              </w:rPr>
            </w:pPr>
            <w:r w:rsidRPr="001B3EA2">
              <w:rPr>
                <w:rFonts w:cs="Times New Roman"/>
                <w:color w:val="000000" w:themeColor="text1"/>
                <w:lang w:val="es-ES"/>
              </w:rPr>
              <w:t xml:space="preserve">Estados            Unión Europea         China (post-2006)            China </w:t>
            </w:r>
          </w:p>
          <w:p w:rsidR="00B306F1" w:rsidRPr="001B3EA2" w:rsidRDefault="00B306F1" w:rsidP="009561DB">
            <w:pPr>
              <w:autoSpaceDE w:val="0"/>
              <w:autoSpaceDN w:val="0"/>
              <w:adjustRightInd w:val="0"/>
              <w:jc w:val="both"/>
              <w:rPr>
                <w:rFonts w:cs="Times New Roman"/>
                <w:color w:val="000000" w:themeColor="text1"/>
                <w:lang w:val="es-ES"/>
              </w:rPr>
            </w:pPr>
            <w:r w:rsidRPr="001B3EA2">
              <w:rPr>
                <w:rFonts w:cs="Times New Roman"/>
                <w:color w:val="000000" w:themeColor="text1"/>
                <w:lang w:val="es-ES"/>
              </w:rPr>
              <w:t>Unidos</w:t>
            </w:r>
            <w:r w:rsidRPr="001B3EA2">
              <w:rPr>
                <w:rFonts w:cs="Times New Roman"/>
                <w:color w:val="000000" w:themeColor="text1"/>
                <w:lang w:val="es-CO"/>
              </w:rPr>
              <w:t xml:space="preserve">                                                                                      </w:t>
            </w:r>
            <w:r w:rsidRPr="001B3EA2">
              <w:rPr>
                <w:rFonts w:cs="Times New Roman"/>
                <w:color w:val="000000" w:themeColor="text1"/>
                <w:lang w:val="es-ES"/>
              </w:rPr>
              <w:t>(pre-reforma)</w:t>
            </w:r>
          </w:p>
        </w:tc>
      </w:tr>
      <w:tr w:rsidR="001B3EA2" w:rsidRPr="00993183" w:rsidTr="00B306F1">
        <w:tc>
          <w:tcPr>
            <w:tcW w:w="1242" w:type="dxa"/>
          </w:tcPr>
          <w:p w:rsidR="00B306F1" w:rsidRPr="001B3EA2" w:rsidRDefault="00B306F1" w:rsidP="009561DB">
            <w:pPr>
              <w:autoSpaceDE w:val="0"/>
              <w:autoSpaceDN w:val="0"/>
              <w:adjustRightInd w:val="0"/>
              <w:jc w:val="both"/>
              <w:rPr>
                <w:rFonts w:cs="Times New Roman"/>
                <w:color w:val="000000" w:themeColor="text1"/>
                <w:u w:val="single"/>
                <w:lang w:val="es-CO"/>
              </w:rPr>
            </w:pPr>
            <w:r w:rsidRPr="001B3EA2">
              <w:rPr>
                <w:rFonts w:cs="Times New Roman"/>
                <w:color w:val="000000" w:themeColor="text1"/>
                <w:lang w:val="es-ES"/>
              </w:rPr>
              <w:t>Rol</w:t>
            </w:r>
          </w:p>
        </w:tc>
        <w:tc>
          <w:tcPr>
            <w:tcW w:w="7736" w:type="dxa"/>
            <w:gridSpan w:val="4"/>
          </w:tcPr>
          <w:p w:rsidR="00B306F1" w:rsidRPr="001B3EA2" w:rsidRDefault="00B306F1" w:rsidP="009561DB">
            <w:pPr>
              <w:autoSpaceDE w:val="0"/>
              <w:autoSpaceDN w:val="0"/>
              <w:adjustRightInd w:val="0"/>
              <w:jc w:val="both"/>
              <w:rPr>
                <w:rFonts w:cs="Times New Roman"/>
                <w:color w:val="000000" w:themeColor="text1"/>
                <w:u w:val="single"/>
                <w:lang w:val="es-CO"/>
              </w:rPr>
            </w:pPr>
            <w:r w:rsidRPr="001B3EA2">
              <w:rPr>
                <w:rFonts w:cs="Times New Roman"/>
                <w:color w:val="000000" w:themeColor="text1"/>
                <w:lang w:val="es-ES"/>
              </w:rPr>
              <w:t>Promotor     Facilitador  Acompañante     Controlador            Director</w:t>
            </w:r>
          </w:p>
        </w:tc>
      </w:tr>
    </w:tbl>
    <w:p w:rsidR="00A77E66" w:rsidRPr="001B3EA2" w:rsidRDefault="00A77E66" w:rsidP="009561DB">
      <w:pPr>
        <w:spacing w:after="0"/>
        <w:jc w:val="right"/>
        <w:rPr>
          <w:rFonts w:cs="Times New Roman"/>
          <w:color w:val="000000" w:themeColor="text1"/>
          <w:lang w:val="es-CO"/>
        </w:rPr>
      </w:pPr>
      <w:r w:rsidRPr="001B3EA2">
        <w:rPr>
          <w:rFonts w:cs="Times New Roman"/>
          <w:color w:val="000000" w:themeColor="text1"/>
          <w:lang w:val="es-CO"/>
        </w:rPr>
        <w:t xml:space="preserve">Adaptado de Ho (2013). </w:t>
      </w:r>
    </w:p>
    <w:p w:rsidR="002B3373" w:rsidRPr="001B3EA2" w:rsidRDefault="002B3373" w:rsidP="009561DB">
      <w:pPr>
        <w:spacing w:after="0"/>
        <w:jc w:val="both"/>
        <w:rPr>
          <w:rFonts w:cs="Times New Roman"/>
          <w:color w:val="000000" w:themeColor="text1"/>
          <w:lang w:val="es-CO"/>
        </w:rPr>
      </w:pPr>
    </w:p>
    <w:p w:rsidR="002B3373" w:rsidRPr="001B3EA2" w:rsidRDefault="008A44C9" w:rsidP="009561DB">
      <w:pPr>
        <w:spacing w:after="0"/>
        <w:jc w:val="both"/>
        <w:rPr>
          <w:rFonts w:cs="Times New Roman"/>
          <w:color w:val="000000" w:themeColor="text1"/>
          <w:lang w:val="es-CO"/>
        </w:rPr>
      </w:pPr>
      <w:r w:rsidRPr="001B3EA2">
        <w:rPr>
          <w:rFonts w:cs="Times New Roman"/>
          <w:color w:val="000000" w:themeColor="text1"/>
          <w:lang w:val="es-CO"/>
        </w:rPr>
        <w:t xml:space="preserve">En un nivel de abstracción superior, </w:t>
      </w:r>
      <w:r w:rsidR="007439DC" w:rsidRPr="001B3EA2">
        <w:rPr>
          <w:rFonts w:cs="Times New Roman"/>
          <w:color w:val="000000" w:themeColor="text1"/>
          <w:lang w:val="es-CO"/>
        </w:rPr>
        <w:t xml:space="preserve"> </w:t>
      </w:r>
      <w:proofErr w:type="spellStart"/>
      <w:r w:rsidRPr="001B3EA2">
        <w:rPr>
          <w:rFonts w:cs="Times New Roman"/>
          <w:color w:val="000000" w:themeColor="text1"/>
          <w:lang w:val="es-CO"/>
        </w:rPr>
        <w:t>Fairbras</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Zueva-Owens</w:t>
      </w:r>
      <w:proofErr w:type="spellEnd"/>
      <w:r w:rsidRPr="001B3EA2">
        <w:rPr>
          <w:rFonts w:cs="Times New Roman"/>
          <w:color w:val="000000" w:themeColor="text1"/>
          <w:lang w:val="es-CO"/>
        </w:rPr>
        <w:t xml:space="preserve"> (2012) </w:t>
      </w:r>
      <w:r w:rsidR="002B3373" w:rsidRPr="001B3EA2">
        <w:rPr>
          <w:rFonts w:cs="Times New Roman"/>
          <w:color w:val="000000" w:themeColor="text1"/>
          <w:lang w:val="es-CO"/>
        </w:rPr>
        <w:t>retoman</w:t>
      </w:r>
      <w:r w:rsidRPr="001B3EA2">
        <w:rPr>
          <w:rFonts w:cs="Times New Roman"/>
          <w:color w:val="000000" w:themeColor="text1"/>
          <w:lang w:val="es-CO"/>
        </w:rPr>
        <w:t xml:space="preserve"> el </w:t>
      </w:r>
      <w:r w:rsidRPr="00970EEA">
        <w:rPr>
          <w:rFonts w:cs="Times New Roman"/>
          <w:color w:val="000000" w:themeColor="text1"/>
          <w:lang w:val="es-CO"/>
        </w:rPr>
        <w:t xml:space="preserve">modelo </w:t>
      </w:r>
      <w:r w:rsidRPr="001B3EA2">
        <w:rPr>
          <w:rFonts w:cs="Times New Roman"/>
          <w:color w:val="000000" w:themeColor="text1"/>
          <w:lang w:val="es-CO"/>
        </w:rPr>
        <w:t>de “</w:t>
      </w:r>
      <w:r w:rsidR="002B3373" w:rsidRPr="001B3EA2">
        <w:rPr>
          <w:rFonts w:cs="Times New Roman"/>
          <w:color w:val="000000" w:themeColor="text1"/>
          <w:lang w:val="es-CO"/>
        </w:rPr>
        <w:t>RSE orientada en el marco de la gobernanza relacional integrada</w:t>
      </w:r>
      <w:r w:rsidRPr="001B3EA2">
        <w:rPr>
          <w:rFonts w:cs="Times New Roman"/>
          <w:color w:val="000000" w:themeColor="text1"/>
          <w:lang w:val="es-CO"/>
        </w:rPr>
        <w:t xml:space="preserve">”, inicialmente formulado por </w:t>
      </w:r>
      <w:proofErr w:type="spellStart"/>
      <w:r w:rsidRPr="001B3EA2">
        <w:rPr>
          <w:rFonts w:cs="Times New Roman"/>
          <w:color w:val="000000" w:themeColor="text1"/>
          <w:lang w:val="es-CO"/>
        </w:rPr>
        <w:t>Mid</w:t>
      </w:r>
      <w:r w:rsidR="00977C9F" w:rsidRPr="001B3EA2">
        <w:rPr>
          <w:rFonts w:cs="Times New Roman"/>
          <w:color w:val="000000" w:themeColor="text1"/>
          <w:lang w:val="es-CO"/>
        </w:rPr>
        <w:t>t</w:t>
      </w:r>
      <w:r w:rsidRPr="001B3EA2">
        <w:rPr>
          <w:rFonts w:cs="Times New Roman"/>
          <w:color w:val="000000" w:themeColor="text1"/>
          <w:lang w:val="es-CO"/>
        </w:rPr>
        <w:t>tun</w:t>
      </w:r>
      <w:proofErr w:type="spellEnd"/>
      <w:r w:rsidR="00977C9F" w:rsidRPr="001B3EA2">
        <w:rPr>
          <w:rFonts w:cs="Times New Roman"/>
          <w:color w:val="000000" w:themeColor="text1"/>
          <w:lang w:val="es-CO"/>
        </w:rPr>
        <w:t xml:space="preserve"> (2005)</w:t>
      </w:r>
      <w:r w:rsidRPr="001B3EA2">
        <w:rPr>
          <w:rFonts w:cs="Times New Roman"/>
          <w:color w:val="000000" w:themeColor="text1"/>
          <w:lang w:val="es-CO"/>
        </w:rPr>
        <w:t xml:space="preserve">, a partir de un estudio de caso realizado con una empresa estatal </w:t>
      </w:r>
      <w:r w:rsidR="001F383F" w:rsidRPr="001B3EA2">
        <w:rPr>
          <w:rFonts w:cs="Times New Roman"/>
          <w:color w:val="000000" w:themeColor="text1"/>
          <w:lang w:val="es-CO"/>
        </w:rPr>
        <w:t xml:space="preserve">en Rusia. </w:t>
      </w:r>
    </w:p>
    <w:p w:rsidR="00977C9F" w:rsidRPr="001B3EA2" w:rsidRDefault="00977C9F" w:rsidP="009561DB">
      <w:pPr>
        <w:spacing w:after="0"/>
        <w:jc w:val="both"/>
        <w:rPr>
          <w:rFonts w:cs="Times New Roman"/>
          <w:color w:val="000000" w:themeColor="text1"/>
          <w:lang w:val="es-CO"/>
        </w:rPr>
      </w:pPr>
    </w:p>
    <w:p w:rsidR="001F383F" w:rsidRPr="001B3EA2" w:rsidRDefault="001F383F" w:rsidP="009561DB">
      <w:pPr>
        <w:spacing w:after="0"/>
        <w:jc w:val="both"/>
        <w:rPr>
          <w:rFonts w:cs="Times New Roman"/>
          <w:color w:val="000000" w:themeColor="text1"/>
          <w:lang w:val="es-CO"/>
        </w:rPr>
      </w:pPr>
      <w:proofErr w:type="spellStart"/>
      <w:r w:rsidRPr="001B3EA2">
        <w:rPr>
          <w:rFonts w:cs="Times New Roman"/>
          <w:color w:val="000000" w:themeColor="text1"/>
          <w:lang w:val="es-CO"/>
        </w:rPr>
        <w:lastRenderedPageBreak/>
        <w:t>Midttun</w:t>
      </w:r>
      <w:proofErr w:type="spellEnd"/>
      <w:r w:rsidR="002B3373" w:rsidRPr="001B3EA2">
        <w:rPr>
          <w:rFonts w:cs="Times New Roman"/>
          <w:color w:val="000000" w:themeColor="text1"/>
          <w:lang w:val="es-CO"/>
        </w:rPr>
        <w:t xml:space="preserve"> (2005), apoyado en los trabajos de</w:t>
      </w:r>
      <w:r w:rsidRPr="001B3EA2">
        <w:rPr>
          <w:rFonts w:cs="Times New Roman"/>
          <w:color w:val="000000" w:themeColor="text1"/>
          <w:lang w:val="es-CO"/>
        </w:rPr>
        <w:t xml:space="preserve"> Mendoza (1991, 1996), </w:t>
      </w:r>
      <w:r w:rsidR="002B3373" w:rsidRPr="001B3EA2">
        <w:rPr>
          <w:rFonts w:cs="Times New Roman"/>
          <w:color w:val="000000" w:themeColor="text1"/>
          <w:lang w:val="es-CO"/>
        </w:rPr>
        <w:t>alude a la gobernanza como un</w:t>
      </w:r>
      <w:r w:rsidRPr="001B3EA2">
        <w:rPr>
          <w:rFonts w:cs="Times New Roman"/>
          <w:color w:val="000000" w:themeColor="text1"/>
          <w:lang w:val="es-CO"/>
        </w:rPr>
        <w:t xml:space="preserve"> patrón emergente en las relaciones contemporáneas entre Estado y socied</w:t>
      </w:r>
      <w:r w:rsidR="002B3373" w:rsidRPr="001B3EA2">
        <w:rPr>
          <w:rFonts w:cs="Times New Roman"/>
          <w:color w:val="000000" w:themeColor="text1"/>
          <w:lang w:val="es-CO"/>
        </w:rPr>
        <w:t>ad en Europa occidental</w:t>
      </w:r>
      <w:r w:rsidR="000F5639" w:rsidRPr="001B3EA2">
        <w:rPr>
          <w:rFonts w:cs="Times New Roman"/>
          <w:color w:val="000000" w:themeColor="text1"/>
          <w:lang w:val="es-CO"/>
        </w:rPr>
        <w:t>, distinto a los esquemas del Estado (neo</w:t>
      </w:r>
      <w:proofErr w:type="gramStart"/>
      <w:r w:rsidR="000F5639" w:rsidRPr="001B3EA2">
        <w:rPr>
          <w:rFonts w:cs="Times New Roman"/>
          <w:color w:val="000000" w:themeColor="text1"/>
          <w:lang w:val="es-CO"/>
        </w:rPr>
        <w:t>)liberal</w:t>
      </w:r>
      <w:proofErr w:type="gramEnd"/>
      <w:r w:rsidR="000F5639" w:rsidRPr="001B3EA2">
        <w:rPr>
          <w:rFonts w:cs="Times New Roman"/>
          <w:color w:val="000000" w:themeColor="text1"/>
          <w:lang w:val="es-CO"/>
        </w:rPr>
        <w:t xml:space="preserve"> y Estado de bienestar</w:t>
      </w:r>
      <w:r w:rsidRPr="001B3EA2">
        <w:rPr>
          <w:rFonts w:cs="Times New Roman"/>
          <w:color w:val="000000" w:themeColor="text1"/>
          <w:lang w:val="es-CO"/>
        </w:rPr>
        <w:t>.</w:t>
      </w:r>
      <w:r w:rsidR="002B3373" w:rsidRPr="001B3EA2">
        <w:rPr>
          <w:rFonts w:cs="Times New Roman"/>
          <w:color w:val="000000" w:themeColor="text1"/>
          <w:lang w:val="es-CO"/>
        </w:rPr>
        <w:t xml:space="preserve"> La gobernanza es vista como</w:t>
      </w:r>
      <w:r w:rsidRPr="001B3EA2">
        <w:rPr>
          <w:rFonts w:cs="Times New Roman"/>
          <w:color w:val="000000" w:themeColor="text1"/>
          <w:lang w:val="es-CO"/>
        </w:rPr>
        <w:t xml:space="preserve"> </w:t>
      </w:r>
      <w:r w:rsidR="002B3373" w:rsidRPr="001B3EA2">
        <w:rPr>
          <w:rFonts w:cs="Times New Roman"/>
          <w:color w:val="000000" w:themeColor="text1"/>
          <w:lang w:val="es-CO"/>
        </w:rPr>
        <w:t>el</w:t>
      </w:r>
      <w:r w:rsidRPr="001B3EA2">
        <w:rPr>
          <w:rFonts w:cs="Times New Roman"/>
          <w:color w:val="000000" w:themeColor="text1"/>
          <w:lang w:val="es-CO"/>
        </w:rPr>
        <w:t xml:space="preserve"> resultado de la interacción entre tres grandes </w:t>
      </w:r>
      <w:r w:rsidR="00CD1CB1" w:rsidRPr="001B3EA2">
        <w:rPr>
          <w:rFonts w:cs="Times New Roman"/>
          <w:color w:val="000000" w:themeColor="text1"/>
          <w:lang w:val="es-CO"/>
        </w:rPr>
        <w:t>actores</w:t>
      </w:r>
      <w:r w:rsidRPr="001B3EA2">
        <w:rPr>
          <w:rFonts w:cs="Times New Roman"/>
          <w:color w:val="000000" w:themeColor="text1"/>
          <w:lang w:val="es-CO"/>
        </w:rPr>
        <w:t xml:space="preserve">: el “Estado”, la “industria” y la “sociedad civil”. Lo particular en la mirada de </w:t>
      </w:r>
      <w:proofErr w:type="spellStart"/>
      <w:r w:rsidRPr="001B3EA2">
        <w:rPr>
          <w:rFonts w:cs="Times New Roman"/>
          <w:color w:val="000000" w:themeColor="text1"/>
          <w:lang w:val="es-CO"/>
        </w:rPr>
        <w:t>Midttun</w:t>
      </w:r>
      <w:proofErr w:type="spellEnd"/>
      <w:r w:rsidRPr="001B3EA2">
        <w:rPr>
          <w:rFonts w:cs="Times New Roman"/>
          <w:color w:val="000000" w:themeColor="text1"/>
          <w:lang w:val="es-CO"/>
        </w:rPr>
        <w:t xml:space="preserve"> es su perspectiva de “intercambio” en tres arenas: “intercambio político” entre el gobierno y la sociedad civil; “intercambio comercial” entre la sociedad civil y la industria; e “intercambio regulatorio” entre el gobierno y la industria. Ver figura 1:  </w:t>
      </w:r>
    </w:p>
    <w:p w:rsidR="00970EEA" w:rsidRDefault="00970EEA" w:rsidP="009561DB">
      <w:pPr>
        <w:spacing w:after="0"/>
        <w:jc w:val="both"/>
        <w:rPr>
          <w:rFonts w:cs="Times New Roman"/>
          <w:color w:val="000000" w:themeColor="text1"/>
          <w:u w:val="single"/>
          <w:lang w:val="es-CO"/>
        </w:rPr>
      </w:pPr>
    </w:p>
    <w:p w:rsidR="001F383F" w:rsidRPr="001B3EA2" w:rsidRDefault="001F383F" w:rsidP="009561DB">
      <w:pPr>
        <w:spacing w:after="0"/>
        <w:jc w:val="both"/>
        <w:rPr>
          <w:rFonts w:cs="Times New Roman"/>
          <w:color w:val="000000" w:themeColor="text1"/>
          <w:u w:val="single"/>
          <w:lang w:val="es-CO"/>
        </w:rPr>
      </w:pPr>
      <w:r w:rsidRPr="001B3EA2">
        <w:rPr>
          <w:rFonts w:cs="Times New Roman"/>
          <w:color w:val="000000" w:themeColor="text1"/>
          <w:u w:val="single"/>
          <w:lang w:val="es-CO"/>
        </w:rPr>
        <w:t>Figura 1. Modelo original de la “Gobernanza relacional integrada” (</w:t>
      </w:r>
      <w:proofErr w:type="spellStart"/>
      <w:r w:rsidRPr="001B3EA2">
        <w:rPr>
          <w:rFonts w:cs="Times New Roman"/>
          <w:color w:val="000000" w:themeColor="text1"/>
          <w:u w:val="single"/>
          <w:lang w:val="es-CO"/>
        </w:rPr>
        <w:t>Midttun</w:t>
      </w:r>
      <w:proofErr w:type="spellEnd"/>
      <w:r w:rsidRPr="001B3EA2">
        <w:rPr>
          <w:rFonts w:cs="Times New Roman"/>
          <w:color w:val="000000" w:themeColor="text1"/>
          <w:u w:val="single"/>
          <w:lang w:val="es-CO"/>
        </w:rPr>
        <w:t>)</w:t>
      </w:r>
    </w:p>
    <w:p w:rsidR="001F383F" w:rsidRPr="001B3EA2" w:rsidRDefault="001F383F" w:rsidP="009561DB">
      <w:pPr>
        <w:spacing w:after="0"/>
        <w:jc w:val="both"/>
        <w:rPr>
          <w:rFonts w:cs="Times New Roman"/>
          <w:noProof/>
          <w:color w:val="000000" w:themeColor="text1"/>
          <w:u w:val="single"/>
          <w:lang w:val="es-CO" w:eastAsia="es-CO"/>
        </w:rPr>
      </w:pPr>
    </w:p>
    <w:p w:rsidR="001F383F" w:rsidRPr="001B3EA2" w:rsidRDefault="001F383F" w:rsidP="009561DB">
      <w:pPr>
        <w:spacing w:after="0"/>
        <w:jc w:val="both"/>
        <w:rPr>
          <w:rFonts w:cs="Times New Roman"/>
          <w:color w:val="000000" w:themeColor="text1"/>
        </w:rPr>
      </w:pPr>
      <w:r w:rsidRPr="001B3EA2">
        <w:rPr>
          <w:rFonts w:cs="Times New Roman"/>
          <w:noProof/>
          <w:color w:val="000000" w:themeColor="text1"/>
          <w:lang w:val="es-CO" w:eastAsia="es-CO"/>
        </w:rPr>
        <w:drawing>
          <wp:inline distT="0" distB="0" distL="0" distR="0" wp14:anchorId="585F27AD" wp14:editId="55820026">
            <wp:extent cx="5019675" cy="2869624"/>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4290" cy="2872262"/>
                    </a:xfrm>
                    <a:prstGeom prst="rect">
                      <a:avLst/>
                    </a:prstGeom>
                    <a:noFill/>
                    <a:ln>
                      <a:noFill/>
                    </a:ln>
                  </pic:spPr>
                </pic:pic>
              </a:graphicData>
            </a:graphic>
          </wp:inline>
        </w:drawing>
      </w:r>
    </w:p>
    <w:p w:rsidR="001F383F" w:rsidRPr="001B3EA2" w:rsidRDefault="001F383F" w:rsidP="009561DB">
      <w:pPr>
        <w:spacing w:after="0"/>
        <w:jc w:val="right"/>
        <w:rPr>
          <w:rFonts w:cs="Times New Roman"/>
          <w:color w:val="000000" w:themeColor="text1"/>
          <w:lang w:val="es-CO"/>
        </w:rPr>
      </w:pPr>
      <w:r w:rsidRPr="001B3EA2">
        <w:rPr>
          <w:rFonts w:cs="Times New Roman"/>
          <w:color w:val="000000" w:themeColor="text1"/>
          <w:lang w:val="es-CO"/>
        </w:rPr>
        <w:t xml:space="preserve">Adaptado de </w:t>
      </w:r>
      <w:proofErr w:type="spellStart"/>
      <w:r w:rsidRPr="001B3EA2">
        <w:rPr>
          <w:rFonts w:cs="Times New Roman"/>
          <w:color w:val="000000" w:themeColor="text1"/>
          <w:lang w:val="es-CO"/>
        </w:rPr>
        <w:t>Fairbras</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Zueva-Owens</w:t>
      </w:r>
      <w:proofErr w:type="spellEnd"/>
      <w:r w:rsidRPr="001B3EA2">
        <w:rPr>
          <w:rFonts w:cs="Times New Roman"/>
          <w:color w:val="000000" w:themeColor="text1"/>
          <w:lang w:val="es-CO"/>
        </w:rPr>
        <w:t xml:space="preserve"> (2012).</w:t>
      </w:r>
    </w:p>
    <w:p w:rsidR="00CD1CB1" w:rsidRPr="001B3EA2" w:rsidRDefault="00CD1CB1" w:rsidP="009561DB">
      <w:pPr>
        <w:autoSpaceDE w:val="0"/>
        <w:autoSpaceDN w:val="0"/>
        <w:adjustRightInd w:val="0"/>
        <w:spacing w:after="0"/>
        <w:jc w:val="both"/>
        <w:rPr>
          <w:rFonts w:cs="Times New Roman"/>
          <w:color w:val="000000" w:themeColor="text1"/>
          <w:lang w:val="es-CO"/>
        </w:rPr>
      </w:pPr>
    </w:p>
    <w:p w:rsidR="00977C9F" w:rsidRPr="001B3EA2" w:rsidRDefault="00977C9F" w:rsidP="009561DB">
      <w:pPr>
        <w:autoSpaceDE w:val="0"/>
        <w:autoSpaceDN w:val="0"/>
        <w:adjustRightInd w:val="0"/>
        <w:spacing w:after="0"/>
        <w:jc w:val="both"/>
        <w:rPr>
          <w:rFonts w:cs="Times New Roman"/>
          <w:color w:val="000000" w:themeColor="text1"/>
          <w:lang w:val="es-CO"/>
        </w:rPr>
      </w:pPr>
      <w:proofErr w:type="spellStart"/>
      <w:r w:rsidRPr="001B3EA2">
        <w:rPr>
          <w:rFonts w:cs="Times New Roman"/>
          <w:color w:val="000000" w:themeColor="text1"/>
          <w:lang w:val="es-CO"/>
        </w:rPr>
        <w:t>Fairbras</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Zueva-Owens</w:t>
      </w:r>
      <w:proofErr w:type="spellEnd"/>
      <w:r w:rsidRPr="001B3EA2">
        <w:rPr>
          <w:rFonts w:cs="Times New Roman"/>
          <w:color w:val="000000" w:themeColor="text1"/>
          <w:lang w:val="es-CO"/>
        </w:rPr>
        <w:t xml:space="preserve"> (2012) proponen ajustes al modelo de gobernanza relacional integrada, de tal modo que éste se fortalezca y pueda adaptarse al estudio de países dist</w:t>
      </w:r>
      <w:r w:rsidR="00CD1CB1" w:rsidRPr="001B3EA2">
        <w:rPr>
          <w:rFonts w:cs="Times New Roman"/>
          <w:color w:val="000000" w:themeColor="text1"/>
          <w:lang w:val="es-CO"/>
        </w:rPr>
        <w:t>intos a los de la Unión Europea, teniendo en cuenta que</w:t>
      </w:r>
      <w:r w:rsidR="00970EEA">
        <w:rPr>
          <w:rFonts w:cs="Times New Roman"/>
          <w:color w:val="000000" w:themeColor="text1"/>
          <w:lang w:val="es-CO"/>
        </w:rPr>
        <w:t>, según su estudio de caso</w:t>
      </w:r>
      <w:r w:rsidR="007B4B61">
        <w:rPr>
          <w:rFonts w:cs="Times New Roman"/>
          <w:color w:val="000000" w:themeColor="text1"/>
          <w:lang w:val="es-CO"/>
        </w:rPr>
        <w:t xml:space="preserve"> en Rusia</w:t>
      </w:r>
      <w:r w:rsidR="00CD1CB1" w:rsidRPr="001B3EA2">
        <w:rPr>
          <w:rFonts w:cs="Times New Roman"/>
          <w:color w:val="000000" w:themeColor="text1"/>
          <w:lang w:val="es-CO"/>
        </w:rPr>
        <w:t xml:space="preserve">: </w:t>
      </w:r>
      <w:r w:rsidRPr="001B3EA2">
        <w:rPr>
          <w:rFonts w:cs="Times New Roman"/>
          <w:color w:val="000000" w:themeColor="text1"/>
          <w:lang w:val="es-CO"/>
        </w:rPr>
        <w:t xml:space="preserve"> </w:t>
      </w:r>
    </w:p>
    <w:p w:rsidR="00977C9F" w:rsidRPr="001B3EA2" w:rsidRDefault="00977C9F" w:rsidP="009561DB">
      <w:pPr>
        <w:autoSpaceDE w:val="0"/>
        <w:autoSpaceDN w:val="0"/>
        <w:adjustRightInd w:val="0"/>
        <w:spacing w:after="0"/>
        <w:rPr>
          <w:rFonts w:cs="Times New Roman"/>
          <w:color w:val="000000" w:themeColor="text1"/>
          <w:lang w:val="es-CO"/>
        </w:rPr>
      </w:pPr>
    </w:p>
    <w:p w:rsidR="00977C9F" w:rsidRPr="001B3EA2" w:rsidRDefault="00977C9F" w:rsidP="009561DB">
      <w:pPr>
        <w:pStyle w:val="Prrafodelista"/>
        <w:numPr>
          <w:ilvl w:val="0"/>
          <w:numId w:val="16"/>
        </w:numPr>
        <w:autoSpaceDE w:val="0"/>
        <w:autoSpaceDN w:val="0"/>
        <w:adjustRightInd w:val="0"/>
        <w:spacing w:after="0"/>
        <w:jc w:val="both"/>
        <w:rPr>
          <w:rFonts w:cs="Times New Roman"/>
          <w:color w:val="000000" w:themeColor="text1"/>
          <w:lang w:val="es-CO"/>
        </w:rPr>
      </w:pPr>
      <w:r w:rsidRPr="001B3EA2">
        <w:rPr>
          <w:rFonts w:cs="Times New Roman"/>
          <w:color w:val="000000" w:themeColor="text1"/>
          <w:lang w:val="es-CO"/>
        </w:rPr>
        <w:t xml:space="preserve">Existe un desbalance de poder entre los tres tipos de actores. Los gobiernos poseen el mayor nivel de poder en tanto pueden ejercer poderosas sanciones que les permiten ejercer control sobre la sociedad; seguidos por los actores empresariales y finalmente por las organizaciones civiles. Esta distribución responde al acceso diferenciado a los recursos tangibles e intangibles. </w:t>
      </w:r>
    </w:p>
    <w:p w:rsidR="00977C9F" w:rsidRDefault="00977C9F" w:rsidP="009561DB">
      <w:pPr>
        <w:pStyle w:val="Prrafodelista"/>
        <w:numPr>
          <w:ilvl w:val="0"/>
          <w:numId w:val="16"/>
        </w:numPr>
        <w:autoSpaceDE w:val="0"/>
        <w:autoSpaceDN w:val="0"/>
        <w:adjustRightInd w:val="0"/>
        <w:spacing w:after="0"/>
        <w:jc w:val="both"/>
        <w:rPr>
          <w:rFonts w:cs="Times New Roman"/>
          <w:color w:val="000000" w:themeColor="text1"/>
          <w:lang w:val="es-CO"/>
        </w:rPr>
      </w:pPr>
      <w:r w:rsidRPr="001B3EA2">
        <w:rPr>
          <w:rFonts w:cs="Times New Roman"/>
          <w:color w:val="000000" w:themeColor="text1"/>
          <w:lang w:val="es-CO"/>
        </w:rPr>
        <w:t>Los tres actores no necesariamente comparten objetivos comunes ni se vinculan principalmente en relaciones cooperativas.</w:t>
      </w:r>
    </w:p>
    <w:p w:rsidR="001E0CCB" w:rsidRPr="001B3EA2" w:rsidRDefault="001E0CCB" w:rsidP="009561DB">
      <w:pPr>
        <w:pStyle w:val="Prrafodelista"/>
        <w:autoSpaceDE w:val="0"/>
        <w:autoSpaceDN w:val="0"/>
        <w:adjustRightInd w:val="0"/>
        <w:spacing w:after="0"/>
        <w:ind w:left="780"/>
        <w:jc w:val="both"/>
        <w:rPr>
          <w:rFonts w:cs="Times New Roman"/>
          <w:color w:val="000000" w:themeColor="text1"/>
          <w:lang w:val="es-CO"/>
        </w:rPr>
      </w:pPr>
    </w:p>
    <w:p w:rsidR="00977C9F" w:rsidRPr="001B3EA2" w:rsidRDefault="00523695" w:rsidP="009561DB">
      <w:pPr>
        <w:spacing w:after="0"/>
        <w:jc w:val="both"/>
        <w:rPr>
          <w:rFonts w:cs="Times New Roman"/>
          <w:color w:val="000000" w:themeColor="text1"/>
          <w:lang w:val="es-CO"/>
        </w:rPr>
      </w:pPr>
      <w:r w:rsidRPr="001B3EA2">
        <w:rPr>
          <w:rFonts w:cs="Times New Roman"/>
          <w:color w:val="000000" w:themeColor="text1"/>
          <w:lang w:val="es-CO"/>
        </w:rPr>
        <w:t xml:space="preserve">En sintonía con la propuesta de </w:t>
      </w:r>
      <w:proofErr w:type="spellStart"/>
      <w:r w:rsidRPr="001B3EA2">
        <w:rPr>
          <w:rFonts w:cs="Times New Roman"/>
          <w:color w:val="000000" w:themeColor="text1"/>
          <w:lang w:val="es-CO"/>
        </w:rPr>
        <w:t>Fairbras</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Zueva-Owens</w:t>
      </w:r>
      <w:proofErr w:type="spellEnd"/>
      <w:r w:rsidRPr="001B3EA2">
        <w:rPr>
          <w:rFonts w:cs="Times New Roman"/>
          <w:color w:val="000000" w:themeColor="text1"/>
          <w:lang w:val="es-CO"/>
        </w:rPr>
        <w:t xml:space="preserve"> (2012), las investigaciones empíricas de </w:t>
      </w:r>
      <w:proofErr w:type="spellStart"/>
      <w:r w:rsidRPr="001B3EA2">
        <w:rPr>
          <w:rFonts w:cs="Times New Roman"/>
          <w:color w:val="000000" w:themeColor="text1"/>
          <w:lang w:val="es-CO"/>
        </w:rPr>
        <w:t>Mazzucato</w:t>
      </w:r>
      <w:proofErr w:type="spellEnd"/>
      <w:r w:rsidRPr="001B3EA2">
        <w:rPr>
          <w:rFonts w:cs="Times New Roman"/>
          <w:color w:val="000000" w:themeColor="text1"/>
          <w:lang w:val="es-CO"/>
        </w:rPr>
        <w:t xml:space="preserve"> (2013) en los sectores farmacéutico, la nanotecnología y las tecnologías de la información y la telecomunicación, la llevan a plantear que el rol del Estado no se reduce al de regulador, facilitador de lo</w:t>
      </w:r>
      <w:r w:rsidR="00D43F9B" w:rsidRPr="001B3EA2">
        <w:rPr>
          <w:rFonts w:cs="Times New Roman"/>
          <w:color w:val="000000" w:themeColor="text1"/>
          <w:lang w:val="es-CO"/>
        </w:rPr>
        <w:t>s negocios o</w:t>
      </w:r>
      <w:r w:rsidRPr="001B3EA2">
        <w:rPr>
          <w:rFonts w:cs="Times New Roman"/>
          <w:color w:val="000000" w:themeColor="text1"/>
          <w:lang w:val="es-CO"/>
        </w:rPr>
        <w:t xml:space="preserve"> proveedor de servicios públicos, sino</w:t>
      </w:r>
      <w:r w:rsidR="00CD1CB1" w:rsidRPr="001B3EA2">
        <w:rPr>
          <w:rFonts w:cs="Times New Roman"/>
          <w:color w:val="000000" w:themeColor="text1"/>
          <w:lang w:val="es-CO"/>
        </w:rPr>
        <w:t xml:space="preserve"> que</w:t>
      </w:r>
      <w:r w:rsidRPr="001B3EA2">
        <w:rPr>
          <w:rFonts w:cs="Times New Roman"/>
          <w:color w:val="000000" w:themeColor="text1"/>
          <w:lang w:val="es-CO"/>
        </w:rPr>
        <w:t xml:space="preserve"> tambi</w:t>
      </w:r>
      <w:r w:rsidR="00CD1CB1" w:rsidRPr="001B3EA2">
        <w:rPr>
          <w:rFonts w:cs="Times New Roman"/>
          <w:color w:val="000000" w:themeColor="text1"/>
          <w:lang w:val="es-CO"/>
        </w:rPr>
        <w:t>én incluye el</w:t>
      </w:r>
      <w:r w:rsidRPr="001B3EA2">
        <w:rPr>
          <w:rFonts w:cs="Times New Roman"/>
          <w:color w:val="000000" w:themeColor="text1"/>
          <w:lang w:val="es-CO"/>
        </w:rPr>
        <w:t xml:space="preserve"> de creador de nuevos mercados a través de la </w:t>
      </w:r>
      <w:r w:rsidRPr="001B3EA2">
        <w:rPr>
          <w:rFonts w:cs="Times New Roman"/>
          <w:color w:val="000000" w:themeColor="text1"/>
          <w:lang w:val="es-CO"/>
        </w:rPr>
        <w:lastRenderedPageBreak/>
        <w:t>inversión en capitales de r</w:t>
      </w:r>
      <w:r w:rsidR="00D43F9B" w:rsidRPr="001B3EA2">
        <w:rPr>
          <w:rFonts w:cs="Times New Roman"/>
          <w:color w:val="000000" w:themeColor="text1"/>
          <w:lang w:val="es-CO"/>
        </w:rPr>
        <w:t>iesgo asociados a</w:t>
      </w:r>
      <w:r w:rsidRPr="001B3EA2">
        <w:rPr>
          <w:rFonts w:cs="Times New Roman"/>
          <w:color w:val="000000" w:themeColor="text1"/>
          <w:lang w:val="es-CO"/>
        </w:rPr>
        <w:t xml:space="preserve"> la innovación. </w:t>
      </w:r>
      <w:proofErr w:type="spellStart"/>
      <w:r w:rsidRPr="001B3EA2">
        <w:rPr>
          <w:rFonts w:cs="Times New Roman"/>
          <w:color w:val="000000" w:themeColor="text1"/>
          <w:lang w:val="es-CO"/>
        </w:rPr>
        <w:t>Mazzucato</w:t>
      </w:r>
      <w:proofErr w:type="spellEnd"/>
      <w:r w:rsidRPr="001B3EA2">
        <w:rPr>
          <w:rFonts w:cs="Times New Roman"/>
          <w:color w:val="000000" w:themeColor="text1"/>
          <w:lang w:val="es-CO"/>
        </w:rPr>
        <w:t xml:space="preserve"> incorpora el concepto de “Estado empresarial” para referirse a este tipo de rol en el cual el Estado act</w:t>
      </w:r>
      <w:r w:rsidR="00CD1CB1" w:rsidRPr="001B3EA2">
        <w:rPr>
          <w:rFonts w:cs="Times New Roman"/>
          <w:color w:val="000000" w:themeColor="text1"/>
          <w:lang w:val="es-CO"/>
        </w:rPr>
        <w:t>úa con un</w:t>
      </w:r>
      <w:r w:rsidRPr="001B3EA2">
        <w:rPr>
          <w:rFonts w:cs="Times New Roman"/>
          <w:color w:val="000000" w:themeColor="text1"/>
          <w:lang w:val="es-CO"/>
        </w:rPr>
        <w:t xml:space="preserve"> coraje </w:t>
      </w:r>
      <w:r w:rsidR="00CD1CB1" w:rsidRPr="001B3EA2">
        <w:rPr>
          <w:rFonts w:cs="Times New Roman"/>
          <w:color w:val="000000" w:themeColor="text1"/>
          <w:lang w:val="es-CO"/>
        </w:rPr>
        <w:t xml:space="preserve">tal </w:t>
      </w:r>
      <w:r w:rsidRPr="001B3EA2">
        <w:rPr>
          <w:rFonts w:cs="Times New Roman"/>
          <w:color w:val="000000" w:themeColor="text1"/>
          <w:lang w:val="es-CO"/>
        </w:rPr>
        <w:t>que lo acerca más a la figura de “león” que a la de “minino” sumiso a los intereses privados</w:t>
      </w:r>
      <w:r w:rsidR="00CD1CB1" w:rsidRPr="001B3EA2">
        <w:rPr>
          <w:rFonts w:cs="Times New Roman"/>
          <w:color w:val="000000" w:themeColor="text1"/>
          <w:lang w:val="es-CO"/>
        </w:rPr>
        <w:t xml:space="preserve"> (</w:t>
      </w:r>
      <w:proofErr w:type="spellStart"/>
      <w:r w:rsidR="00CD1CB1" w:rsidRPr="001B3EA2">
        <w:rPr>
          <w:rFonts w:cs="Times New Roman"/>
          <w:color w:val="000000" w:themeColor="text1"/>
          <w:lang w:val="es-CO"/>
        </w:rPr>
        <w:t>Mazzucato</w:t>
      </w:r>
      <w:proofErr w:type="spellEnd"/>
      <w:r w:rsidR="00CD1CB1" w:rsidRPr="001B3EA2">
        <w:rPr>
          <w:rFonts w:cs="Times New Roman"/>
          <w:color w:val="000000" w:themeColor="text1"/>
          <w:lang w:val="es-CO"/>
        </w:rPr>
        <w:t>, 2013)</w:t>
      </w:r>
      <w:r w:rsidRPr="001B3EA2">
        <w:rPr>
          <w:rFonts w:cs="Times New Roman"/>
          <w:color w:val="000000" w:themeColor="text1"/>
          <w:lang w:val="es-CO"/>
        </w:rPr>
        <w:t xml:space="preserve">.  </w:t>
      </w:r>
    </w:p>
    <w:p w:rsidR="00176264" w:rsidRPr="001B3EA2" w:rsidRDefault="00176264" w:rsidP="009561DB">
      <w:pPr>
        <w:spacing w:after="0"/>
        <w:jc w:val="both"/>
        <w:rPr>
          <w:rFonts w:cs="Times New Roman"/>
          <w:color w:val="000000" w:themeColor="text1"/>
          <w:lang w:val="es-CO"/>
        </w:rPr>
      </w:pPr>
    </w:p>
    <w:p w:rsidR="007439DC" w:rsidRPr="001B3EA2" w:rsidRDefault="00D766B3" w:rsidP="009561DB">
      <w:pPr>
        <w:autoSpaceDE w:val="0"/>
        <w:autoSpaceDN w:val="0"/>
        <w:adjustRightInd w:val="0"/>
        <w:spacing w:after="0"/>
        <w:jc w:val="both"/>
        <w:rPr>
          <w:rFonts w:cs="Times New Roman"/>
          <w:color w:val="000000" w:themeColor="text1"/>
          <w:lang w:val="es-CO"/>
        </w:rPr>
      </w:pPr>
      <w:r w:rsidRPr="001B3EA2">
        <w:rPr>
          <w:rFonts w:cs="Times New Roman"/>
          <w:i/>
          <w:color w:val="000000" w:themeColor="text1"/>
          <w:lang w:val="es-CO"/>
        </w:rPr>
        <w:t>Teorías integrativas (culturales)</w:t>
      </w:r>
      <w:r w:rsidR="0087089A" w:rsidRPr="001B3EA2">
        <w:rPr>
          <w:rFonts w:cs="Times New Roman"/>
          <w:color w:val="000000" w:themeColor="text1"/>
          <w:lang w:val="es-CO"/>
        </w:rPr>
        <w:t xml:space="preserve">: </w:t>
      </w:r>
      <w:r w:rsidR="004834B6" w:rsidRPr="001B3EA2">
        <w:rPr>
          <w:rFonts w:cs="Times New Roman"/>
          <w:color w:val="000000" w:themeColor="text1"/>
          <w:lang w:val="es-CO"/>
        </w:rPr>
        <w:t xml:space="preserve">en esta dimensión se incluyen las investigaciones sobre la legitimidad que la sociedad brinda a los negocios según éstos se comporten o no de acuerdo a las expectativas propias de cada </w:t>
      </w:r>
      <w:r w:rsidR="00596F63" w:rsidRPr="001B3EA2">
        <w:rPr>
          <w:rFonts w:cs="Times New Roman"/>
          <w:color w:val="000000" w:themeColor="text1"/>
          <w:lang w:val="es-CO"/>
        </w:rPr>
        <w:t xml:space="preserve">contexto </w:t>
      </w:r>
      <w:r w:rsidR="004834B6" w:rsidRPr="001B3EA2">
        <w:rPr>
          <w:rFonts w:cs="Times New Roman"/>
          <w:color w:val="000000" w:themeColor="text1"/>
          <w:lang w:val="es-CO"/>
        </w:rPr>
        <w:t>cultura</w:t>
      </w:r>
      <w:r w:rsidR="00596F63" w:rsidRPr="001B3EA2">
        <w:rPr>
          <w:rFonts w:cs="Times New Roman"/>
          <w:color w:val="000000" w:themeColor="text1"/>
          <w:lang w:val="es-CO"/>
        </w:rPr>
        <w:t>l</w:t>
      </w:r>
      <w:r w:rsidR="004834B6" w:rsidRPr="001B3EA2">
        <w:rPr>
          <w:rFonts w:cs="Times New Roman"/>
          <w:color w:val="000000" w:themeColor="text1"/>
          <w:lang w:val="es-CO"/>
        </w:rPr>
        <w:t xml:space="preserve"> (</w:t>
      </w:r>
      <w:proofErr w:type="spellStart"/>
      <w:r w:rsidR="007439DC" w:rsidRPr="001B3EA2">
        <w:rPr>
          <w:rFonts w:cs="Times New Roman"/>
          <w:color w:val="000000" w:themeColor="text1"/>
          <w:lang w:val="es-CO"/>
        </w:rPr>
        <w:t>Ackerman</w:t>
      </w:r>
      <w:proofErr w:type="spellEnd"/>
      <w:r w:rsidR="007439DC" w:rsidRPr="001B3EA2">
        <w:rPr>
          <w:rFonts w:cs="Times New Roman"/>
          <w:color w:val="000000" w:themeColor="text1"/>
          <w:lang w:val="es-CO"/>
        </w:rPr>
        <w:t>, 1973</w:t>
      </w:r>
      <w:r w:rsidR="004834B6" w:rsidRPr="001B3EA2">
        <w:rPr>
          <w:rFonts w:cs="Times New Roman"/>
          <w:color w:val="000000" w:themeColor="text1"/>
          <w:lang w:val="es-CO"/>
        </w:rPr>
        <w:t xml:space="preserve">; </w:t>
      </w:r>
      <w:r w:rsidR="007439DC" w:rsidRPr="001B3EA2">
        <w:rPr>
          <w:rFonts w:cs="Times New Roman"/>
          <w:color w:val="000000" w:themeColor="text1"/>
          <w:lang w:val="es-CO"/>
        </w:rPr>
        <w:t>Preston and Post, 1975</w:t>
      </w:r>
      <w:r w:rsidR="004834B6" w:rsidRPr="001B3EA2">
        <w:rPr>
          <w:rFonts w:cs="Times New Roman"/>
          <w:color w:val="000000" w:themeColor="text1"/>
          <w:lang w:val="es-CO"/>
        </w:rPr>
        <w:t>; Carroll, 1979)</w:t>
      </w:r>
      <w:r w:rsidR="007439DC" w:rsidRPr="001B3EA2">
        <w:rPr>
          <w:rFonts w:cs="Times New Roman"/>
          <w:color w:val="000000" w:themeColor="text1"/>
          <w:lang w:val="es-CO"/>
        </w:rPr>
        <w:t xml:space="preserve">. </w:t>
      </w:r>
      <w:r w:rsidR="004834B6" w:rsidRPr="001B3EA2">
        <w:rPr>
          <w:rFonts w:cs="Times New Roman"/>
          <w:color w:val="000000" w:themeColor="text1"/>
          <w:lang w:val="es-CO"/>
        </w:rPr>
        <w:t>Se destaca la teoría de los grupos de interés</w:t>
      </w:r>
      <w:r w:rsidR="007439DC" w:rsidRPr="001B3EA2">
        <w:rPr>
          <w:rFonts w:cs="Times New Roman"/>
          <w:color w:val="000000" w:themeColor="text1"/>
          <w:lang w:val="es-CO"/>
        </w:rPr>
        <w:t xml:space="preserve"> (Mitchell et al, 1997)</w:t>
      </w:r>
      <w:r w:rsidR="004834B6" w:rsidRPr="001B3EA2">
        <w:rPr>
          <w:rFonts w:cs="Times New Roman"/>
          <w:color w:val="000000" w:themeColor="text1"/>
          <w:lang w:val="es-CO"/>
        </w:rPr>
        <w:t xml:space="preserve"> y en particular los estudios recientes que contrastan la prescripción utilitarista según la cual las ganancias de los accionistas contribuyen a la “felicidad” de las naciones “prósperas”, con las descripciones empíricas del impacto marginal de </w:t>
      </w:r>
      <w:r w:rsidR="00596F63" w:rsidRPr="001B3EA2">
        <w:rPr>
          <w:rFonts w:cs="Times New Roman"/>
          <w:color w:val="000000" w:themeColor="text1"/>
          <w:lang w:val="es-CO"/>
        </w:rPr>
        <w:t>las utilidades</w:t>
      </w:r>
      <w:r w:rsidR="007F1A75" w:rsidRPr="001B3EA2">
        <w:rPr>
          <w:rFonts w:cs="Times New Roman"/>
          <w:color w:val="000000" w:themeColor="text1"/>
          <w:lang w:val="es-CO"/>
        </w:rPr>
        <w:t xml:space="preserve"> en el bienestar colectivo de los países –supuestamente- desarrollados</w:t>
      </w:r>
      <w:r w:rsidR="00596F63" w:rsidRPr="001B3EA2">
        <w:rPr>
          <w:rFonts w:cs="Times New Roman"/>
          <w:color w:val="000000" w:themeColor="text1"/>
          <w:lang w:val="es-CO"/>
        </w:rPr>
        <w:t xml:space="preserve"> (Jones y </w:t>
      </w:r>
      <w:proofErr w:type="spellStart"/>
      <w:r w:rsidR="00596F63" w:rsidRPr="001B3EA2">
        <w:rPr>
          <w:rFonts w:cs="Times New Roman"/>
          <w:color w:val="000000" w:themeColor="text1"/>
          <w:lang w:val="es-CO"/>
        </w:rPr>
        <w:t>Phelps</w:t>
      </w:r>
      <w:proofErr w:type="spellEnd"/>
      <w:r w:rsidR="00596F63" w:rsidRPr="001B3EA2">
        <w:rPr>
          <w:rFonts w:cs="Times New Roman"/>
          <w:color w:val="000000" w:themeColor="text1"/>
          <w:lang w:val="es-CO"/>
        </w:rPr>
        <w:t>, 2013a; 2013b)</w:t>
      </w:r>
      <w:r w:rsidR="007F1A75" w:rsidRPr="001B3EA2">
        <w:rPr>
          <w:rFonts w:cs="Times New Roman"/>
          <w:color w:val="000000" w:themeColor="text1"/>
          <w:lang w:val="es-CO"/>
        </w:rPr>
        <w:t xml:space="preserve">. </w:t>
      </w:r>
    </w:p>
    <w:p w:rsidR="0087089A" w:rsidRPr="001B3EA2" w:rsidRDefault="0087089A" w:rsidP="009561DB">
      <w:pPr>
        <w:spacing w:after="0"/>
        <w:jc w:val="both"/>
        <w:rPr>
          <w:rFonts w:cs="Times New Roman"/>
          <w:color w:val="000000" w:themeColor="text1"/>
          <w:lang w:val="es-CO"/>
        </w:rPr>
      </w:pPr>
    </w:p>
    <w:p w:rsidR="00653FFC" w:rsidRPr="001B3EA2" w:rsidRDefault="00D766B3" w:rsidP="009561DB">
      <w:pPr>
        <w:spacing w:after="0"/>
        <w:jc w:val="both"/>
        <w:rPr>
          <w:rFonts w:cs="Times New Roman"/>
          <w:color w:val="000000" w:themeColor="text1"/>
          <w:lang w:val="es-CO"/>
        </w:rPr>
      </w:pPr>
      <w:r w:rsidRPr="001B3EA2">
        <w:rPr>
          <w:rFonts w:cs="Times New Roman"/>
          <w:i/>
          <w:color w:val="000000" w:themeColor="text1"/>
          <w:lang w:val="es-CO"/>
        </w:rPr>
        <w:t>Teorías é</w:t>
      </w:r>
      <w:r w:rsidR="0087089A" w:rsidRPr="001B3EA2">
        <w:rPr>
          <w:rFonts w:cs="Times New Roman"/>
          <w:i/>
          <w:color w:val="000000" w:themeColor="text1"/>
          <w:lang w:val="es-CO"/>
        </w:rPr>
        <w:t>tica</w:t>
      </w:r>
      <w:r w:rsidRPr="001B3EA2">
        <w:rPr>
          <w:rFonts w:cs="Times New Roman"/>
          <w:i/>
          <w:color w:val="000000" w:themeColor="text1"/>
          <w:lang w:val="es-CO"/>
        </w:rPr>
        <w:t>s</w:t>
      </w:r>
      <w:r w:rsidR="0087089A" w:rsidRPr="001B3EA2">
        <w:rPr>
          <w:rFonts w:cs="Times New Roman"/>
          <w:i/>
          <w:color w:val="000000" w:themeColor="text1"/>
          <w:lang w:val="es-CO"/>
        </w:rPr>
        <w:t>:</w:t>
      </w:r>
      <w:r w:rsidR="00AE333F" w:rsidRPr="001B3EA2">
        <w:rPr>
          <w:rFonts w:cs="Times New Roman"/>
          <w:i/>
          <w:color w:val="000000" w:themeColor="text1"/>
          <w:lang w:val="es-CO"/>
        </w:rPr>
        <w:t xml:space="preserve"> </w:t>
      </w:r>
      <w:r w:rsidR="00AE333F" w:rsidRPr="001B3EA2">
        <w:rPr>
          <w:rFonts w:cs="Times New Roman"/>
          <w:color w:val="000000" w:themeColor="text1"/>
          <w:lang w:val="es-CO"/>
        </w:rPr>
        <w:t>aquí se destacan reflexiones de corte prescriptivo respecto a la responsabilidad social. Como lo señala Solomon (1992), las principales teorías éticas (utilitarismo, deontología y ética de la virtud) indican cursos de acción diferentes –y con frecuencia opuestos- respecto a un mismo asunto como el deber ser de la responsabilidad social. Así, mientras que el utilitarismo considera correcta la responsabilidad social que genere utilidades para el mayor número de personas implicadas (</w:t>
      </w:r>
      <w:proofErr w:type="spellStart"/>
      <w:r w:rsidR="00653FFC" w:rsidRPr="001B3EA2">
        <w:rPr>
          <w:rFonts w:cs="Times New Roman"/>
          <w:color w:val="000000" w:themeColor="text1"/>
          <w:lang w:val="es-CO"/>
        </w:rPr>
        <w:t>Porter</w:t>
      </w:r>
      <w:proofErr w:type="spellEnd"/>
      <w:r w:rsidR="00653FFC" w:rsidRPr="001B3EA2">
        <w:rPr>
          <w:rFonts w:cs="Times New Roman"/>
          <w:color w:val="000000" w:themeColor="text1"/>
          <w:lang w:val="es-CO"/>
        </w:rPr>
        <w:t xml:space="preserve"> &amp; </w:t>
      </w:r>
      <w:proofErr w:type="spellStart"/>
      <w:r w:rsidR="00653FFC" w:rsidRPr="001B3EA2">
        <w:rPr>
          <w:rFonts w:cs="Times New Roman"/>
          <w:color w:val="000000" w:themeColor="text1"/>
          <w:lang w:val="es-CO"/>
        </w:rPr>
        <w:t>Kramer</w:t>
      </w:r>
      <w:proofErr w:type="spellEnd"/>
      <w:r w:rsidR="00653FFC" w:rsidRPr="001B3EA2">
        <w:rPr>
          <w:rFonts w:cs="Times New Roman"/>
          <w:color w:val="000000" w:themeColor="text1"/>
          <w:lang w:val="es-CO"/>
        </w:rPr>
        <w:t>, 2011)</w:t>
      </w:r>
      <w:r w:rsidR="00AE333F" w:rsidRPr="001B3EA2">
        <w:rPr>
          <w:rFonts w:cs="Times New Roman"/>
          <w:color w:val="000000" w:themeColor="text1"/>
          <w:lang w:val="es-CO"/>
        </w:rPr>
        <w:t>, la deontología plant</w:t>
      </w:r>
      <w:r w:rsidR="001E0CCB">
        <w:rPr>
          <w:rFonts w:cs="Times New Roman"/>
          <w:color w:val="000000" w:themeColor="text1"/>
          <w:lang w:val="es-CO"/>
        </w:rPr>
        <w:t>earía que aquella es correcta só</w:t>
      </w:r>
      <w:r w:rsidR="00AE333F" w:rsidRPr="001B3EA2">
        <w:rPr>
          <w:rFonts w:cs="Times New Roman"/>
          <w:color w:val="000000" w:themeColor="text1"/>
          <w:lang w:val="es-CO"/>
        </w:rPr>
        <w:t>lo cuando</w:t>
      </w:r>
      <w:r w:rsidR="001E0CCB">
        <w:rPr>
          <w:rFonts w:cs="Times New Roman"/>
          <w:color w:val="000000" w:themeColor="text1"/>
          <w:lang w:val="es-CO"/>
        </w:rPr>
        <w:t xml:space="preserve"> parte de la “buena voluntad”, de modo que se</w:t>
      </w:r>
      <w:r w:rsidR="00AE333F" w:rsidRPr="001B3EA2">
        <w:rPr>
          <w:rFonts w:cs="Times New Roman"/>
          <w:color w:val="000000" w:themeColor="text1"/>
          <w:lang w:val="es-CO"/>
        </w:rPr>
        <w:t xml:space="preserve"> considera a todo </w:t>
      </w:r>
      <w:r w:rsidR="00653FFC" w:rsidRPr="001B3EA2">
        <w:rPr>
          <w:rFonts w:cs="Times New Roman"/>
          <w:color w:val="000000" w:themeColor="text1"/>
          <w:lang w:val="es-CO"/>
        </w:rPr>
        <w:t xml:space="preserve">grupo de interés de la organización, así como al medio ambiente, como </w:t>
      </w:r>
      <w:r w:rsidR="00AE333F" w:rsidRPr="001B3EA2">
        <w:rPr>
          <w:rFonts w:cs="Times New Roman"/>
          <w:color w:val="000000" w:themeColor="text1"/>
          <w:lang w:val="es-CO"/>
        </w:rPr>
        <w:t>fin</w:t>
      </w:r>
      <w:r w:rsidR="00653FFC" w:rsidRPr="001B3EA2">
        <w:rPr>
          <w:rFonts w:cs="Times New Roman"/>
          <w:color w:val="000000" w:themeColor="text1"/>
          <w:lang w:val="es-CO"/>
        </w:rPr>
        <w:t>es</w:t>
      </w:r>
      <w:r w:rsidR="00AE333F" w:rsidRPr="001B3EA2">
        <w:rPr>
          <w:rFonts w:cs="Times New Roman"/>
          <w:color w:val="000000" w:themeColor="text1"/>
          <w:lang w:val="es-CO"/>
        </w:rPr>
        <w:t xml:space="preserve"> en sí mismo</w:t>
      </w:r>
      <w:r w:rsidR="00653FFC" w:rsidRPr="001B3EA2">
        <w:rPr>
          <w:rFonts w:cs="Times New Roman"/>
          <w:color w:val="000000" w:themeColor="text1"/>
          <w:lang w:val="es-CO"/>
        </w:rPr>
        <w:t>s</w:t>
      </w:r>
      <w:r w:rsidR="00AE333F" w:rsidRPr="001B3EA2">
        <w:rPr>
          <w:rFonts w:cs="Times New Roman"/>
          <w:color w:val="000000" w:themeColor="text1"/>
          <w:lang w:val="es-CO"/>
        </w:rPr>
        <w:t>, evitando la instrumentalización de</w:t>
      </w:r>
      <w:r w:rsidR="00653FFC" w:rsidRPr="001B3EA2">
        <w:rPr>
          <w:rFonts w:cs="Times New Roman"/>
          <w:color w:val="000000" w:themeColor="text1"/>
          <w:lang w:val="es-CO"/>
        </w:rPr>
        <w:t xml:space="preserve"> las relaciones entre seres humanos y entre éstos y su ecosistema (</w:t>
      </w:r>
      <w:proofErr w:type="spellStart"/>
      <w:r w:rsidR="00653FFC" w:rsidRPr="001B3EA2">
        <w:rPr>
          <w:rFonts w:cs="Times New Roman"/>
          <w:color w:val="000000" w:themeColor="text1"/>
          <w:lang w:val="es-CO"/>
        </w:rPr>
        <w:t>Freeman</w:t>
      </w:r>
      <w:proofErr w:type="spellEnd"/>
      <w:r w:rsidR="00653FFC" w:rsidRPr="001B3EA2">
        <w:rPr>
          <w:rFonts w:cs="Times New Roman"/>
          <w:color w:val="000000" w:themeColor="text1"/>
          <w:lang w:val="es-CO"/>
        </w:rPr>
        <w:t xml:space="preserve">, 1994; ONU, 1999; </w:t>
      </w:r>
      <w:proofErr w:type="spellStart"/>
      <w:r w:rsidR="00653FFC" w:rsidRPr="001B3EA2">
        <w:rPr>
          <w:rFonts w:cs="Times New Roman"/>
          <w:color w:val="000000" w:themeColor="text1"/>
          <w:lang w:val="es-CO"/>
        </w:rPr>
        <w:t>Gladwin</w:t>
      </w:r>
      <w:proofErr w:type="spellEnd"/>
      <w:r w:rsidR="00653FFC" w:rsidRPr="001B3EA2">
        <w:rPr>
          <w:rFonts w:cs="Times New Roman"/>
          <w:color w:val="000000" w:themeColor="text1"/>
          <w:lang w:val="es-CO"/>
        </w:rPr>
        <w:t xml:space="preserve"> &amp; </w:t>
      </w:r>
      <w:proofErr w:type="spellStart"/>
      <w:r w:rsidR="00653FFC" w:rsidRPr="001B3EA2">
        <w:rPr>
          <w:rFonts w:cs="Times New Roman"/>
          <w:color w:val="000000" w:themeColor="text1"/>
          <w:lang w:val="es-CO"/>
        </w:rPr>
        <w:t>Kennelly</w:t>
      </w:r>
      <w:proofErr w:type="spellEnd"/>
      <w:r w:rsidR="00653FFC" w:rsidRPr="001B3EA2">
        <w:rPr>
          <w:rFonts w:cs="Times New Roman"/>
          <w:color w:val="000000" w:themeColor="text1"/>
          <w:lang w:val="es-CO"/>
        </w:rPr>
        <w:t xml:space="preserve">, 1995; Melé, 2002). </w:t>
      </w:r>
    </w:p>
    <w:p w:rsidR="00653FFC" w:rsidRPr="001B3EA2" w:rsidRDefault="00653FFC" w:rsidP="009561DB">
      <w:pPr>
        <w:spacing w:after="0"/>
        <w:jc w:val="both"/>
        <w:rPr>
          <w:rFonts w:cs="Times New Roman"/>
          <w:color w:val="000000" w:themeColor="text1"/>
          <w:lang w:val="es-CO"/>
        </w:rPr>
      </w:pPr>
    </w:p>
    <w:p w:rsidR="006018E5" w:rsidRPr="001B3EA2" w:rsidRDefault="00653FFC" w:rsidP="009561DB">
      <w:pPr>
        <w:spacing w:after="0"/>
        <w:jc w:val="both"/>
        <w:rPr>
          <w:rFonts w:cs="Times New Roman"/>
          <w:color w:val="000000" w:themeColor="text1"/>
          <w:lang w:val="es-CO"/>
        </w:rPr>
      </w:pPr>
      <w:r w:rsidRPr="001B3EA2">
        <w:rPr>
          <w:rFonts w:cs="Times New Roman"/>
          <w:color w:val="000000" w:themeColor="text1"/>
          <w:lang w:val="es-CO"/>
        </w:rPr>
        <w:t>En el caso de la ética de las virtudes, revisiones bibliográficas recientes indican una ausencia o invisibilidad de estudios que la relacionen, ya sea prescriptiva o descriptivamente, con la RSE (</w:t>
      </w:r>
      <w:proofErr w:type="spellStart"/>
      <w:r w:rsidRPr="001B3EA2">
        <w:rPr>
          <w:rFonts w:cs="Times New Roman"/>
          <w:color w:val="000000" w:themeColor="text1"/>
          <w:lang w:val="es-CO"/>
        </w:rPr>
        <w:t>Fontrodona</w:t>
      </w:r>
      <w:proofErr w:type="spellEnd"/>
      <w:r w:rsidRPr="001B3EA2">
        <w:rPr>
          <w:rFonts w:cs="Times New Roman"/>
          <w:color w:val="000000" w:themeColor="text1"/>
          <w:lang w:val="es-CO"/>
        </w:rPr>
        <w:t xml:space="preserve">, </w:t>
      </w:r>
      <w:proofErr w:type="spellStart"/>
      <w:r w:rsidRPr="001B3EA2">
        <w:rPr>
          <w:rFonts w:cs="Times New Roman"/>
          <w:color w:val="000000" w:themeColor="text1"/>
          <w:lang w:val="es-CO"/>
        </w:rPr>
        <w:t>Jos</w:t>
      </w:r>
      <w:proofErr w:type="spellEnd"/>
      <w:r w:rsidRPr="001B3EA2">
        <w:rPr>
          <w:rFonts w:cs="Times New Roman"/>
          <w:color w:val="000000" w:themeColor="text1"/>
          <w:lang w:val="es-CO"/>
        </w:rPr>
        <w:t xml:space="preserve"> G Sisón &amp; de </w:t>
      </w:r>
      <w:proofErr w:type="spellStart"/>
      <w:r w:rsidRPr="001B3EA2">
        <w:rPr>
          <w:rFonts w:cs="Times New Roman"/>
          <w:color w:val="000000" w:themeColor="text1"/>
          <w:lang w:val="es-CO"/>
        </w:rPr>
        <w:t>Bruin</w:t>
      </w:r>
      <w:proofErr w:type="spellEnd"/>
      <w:r w:rsidRPr="001B3EA2">
        <w:rPr>
          <w:rFonts w:cs="Times New Roman"/>
          <w:color w:val="000000" w:themeColor="text1"/>
          <w:lang w:val="es-CO"/>
        </w:rPr>
        <w:t xml:space="preserve">, 2013; </w:t>
      </w:r>
      <w:proofErr w:type="spellStart"/>
      <w:r w:rsidRPr="001B3EA2">
        <w:rPr>
          <w:rFonts w:cs="Times New Roman"/>
          <w:color w:val="000000" w:themeColor="text1"/>
          <w:lang w:val="es-CO"/>
        </w:rPr>
        <w:t>Jos</w:t>
      </w:r>
      <w:proofErr w:type="spellEnd"/>
      <w:r w:rsidRPr="001B3EA2">
        <w:rPr>
          <w:rFonts w:cs="Times New Roman"/>
          <w:color w:val="000000" w:themeColor="text1"/>
          <w:lang w:val="es-CO"/>
        </w:rPr>
        <w:t xml:space="preserve"> G Sisón, Hartman &amp; </w:t>
      </w:r>
      <w:proofErr w:type="spellStart"/>
      <w:r w:rsidRPr="001B3EA2">
        <w:rPr>
          <w:rFonts w:cs="Times New Roman"/>
          <w:color w:val="000000" w:themeColor="text1"/>
          <w:lang w:val="es-CO"/>
        </w:rPr>
        <w:t>Fontrodona</w:t>
      </w:r>
      <w:proofErr w:type="spellEnd"/>
      <w:r w:rsidRPr="001B3EA2">
        <w:rPr>
          <w:rFonts w:cs="Times New Roman"/>
          <w:color w:val="000000" w:themeColor="text1"/>
          <w:lang w:val="es-CO"/>
        </w:rPr>
        <w:t>, 2012). Aunque existen excepciones como los estudios exploratorios de</w:t>
      </w:r>
      <w:r w:rsidR="006018E5" w:rsidRPr="001B3EA2">
        <w:rPr>
          <w:rFonts w:cs="Times New Roman"/>
          <w:color w:val="000000" w:themeColor="text1"/>
          <w:lang w:val="es-CO"/>
        </w:rPr>
        <w:t xml:space="preserve"> Thompson (2010) y </w:t>
      </w:r>
      <w:proofErr w:type="spellStart"/>
      <w:r w:rsidR="006018E5" w:rsidRPr="001B3EA2">
        <w:rPr>
          <w:rFonts w:cs="Times New Roman"/>
          <w:color w:val="000000" w:themeColor="text1"/>
          <w:lang w:val="es-CO"/>
        </w:rPr>
        <w:t>Ip</w:t>
      </w:r>
      <w:proofErr w:type="spellEnd"/>
      <w:r w:rsidR="006018E5" w:rsidRPr="001B3EA2">
        <w:rPr>
          <w:rFonts w:cs="Times New Roman"/>
          <w:color w:val="000000" w:themeColor="text1"/>
          <w:lang w:val="es-CO"/>
        </w:rPr>
        <w:t xml:space="preserve"> (2009)</w:t>
      </w:r>
      <w:r w:rsidRPr="001B3EA2">
        <w:rPr>
          <w:rFonts w:cs="Times New Roman"/>
          <w:color w:val="000000" w:themeColor="text1"/>
          <w:lang w:val="es-CO"/>
        </w:rPr>
        <w:t>, quienes</w:t>
      </w:r>
      <w:r w:rsidR="006018E5" w:rsidRPr="001B3EA2">
        <w:rPr>
          <w:rFonts w:cs="Times New Roman"/>
          <w:color w:val="000000" w:themeColor="text1"/>
          <w:lang w:val="es-CO"/>
        </w:rPr>
        <w:t xml:space="preserve"> leen la responsabilidad social de empresas estatales a la luz de la ética de la virtud confusionista. Bajo este lente, Thompson (2010) considera la inversión social de empresas estatales –que responde a decisiones no centralizadas por el gobierno chino–, como una expresión del valor relacional confucionista (</w:t>
      </w:r>
      <w:proofErr w:type="spellStart"/>
      <w:r w:rsidR="006018E5" w:rsidRPr="001B3EA2">
        <w:rPr>
          <w:rFonts w:cs="Times New Roman"/>
          <w:i/>
          <w:color w:val="000000" w:themeColor="text1"/>
          <w:lang w:val="es-CO"/>
        </w:rPr>
        <w:t>Guanxi</w:t>
      </w:r>
      <w:proofErr w:type="spellEnd"/>
      <w:r w:rsidR="006018E5" w:rsidRPr="001B3EA2">
        <w:rPr>
          <w:rFonts w:cs="Times New Roman"/>
          <w:color w:val="000000" w:themeColor="text1"/>
          <w:lang w:val="es-CO"/>
        </w:rPr>
        <w:t>),</w:t>
      </w:r>
      <w:r w:rsidR="006018E5" w:rsidRPr="001B3EA2">
        <w:rPr>
          <w:rFonts w:cs="Times New Roman"/>
          <w:iCs/>
          <w:color w:val="000000" w:themeColor="text1"/>
          <w:lang w:val="es-CO"/>
        </w:rPr>
        <w:t xml:space="preserve"> </w:t>
      </w:r>
      <w:r w:rsidR="006018E5" w:rsidRPr="001B3EA2">
        <w:rPr>
          <w:rFonts w:cs="Times New Roman"/>
          <w:color w:val="000000" w:themeColor="text1"/>
          <w:lang w:val="es-CO"/>
        </w:rPr>
        <w:t>según el cual “se es gente” sólo en</w:t>
      </w:r>
      <w:r w:rsidRPr="001B3EA2">
        <w:rPr>
          <w:rFonts w:cs="Times New Roman"/>
          <w:color w:val="000000" w:themeColor="text1"/>
          <w:lang w:val="es-CO"/>
        </w:rPr>
        <w:t xml:space="preserve"> relación recíproca con el otro.</w:t>
      </w:r>
      <w:r w:rsidR="006018E5" w:rsidRPr="001B3EA2">
        <w:rPr>
          <w:rFonts w:cs="Times New Roman"/>
          <w:color w:val="000000" w:themeColor="text1"/>
          <w:lang w:val="es-CO"/>
        </w:rPr>
        <w:t xml:space="preserve"> </w:t>
      </w:r>
    </w:p>
    <w:p w:rsidR="007439DC" w:rsidRPr="001B3EA2" w:rsidRDefault="007439DC" w:rsidP="009561DB">
      <w:pPr>
        <w:autoSpaceDE w:val="0"/>
        <w:autoSpaceDN w:val="0"/>
        <w:adjustRightInd w:val="0"/>
        <w:spacing w:after="0"/>
        <w:jc w:val="both"/>
        <w:rPr>
          <w:rFonts w:cs="Times New Roman"/>
          <w:color w:val="000000" w:themeColor="text1"/>
          <w:lang w:val="es-CO"/>
        </w:rPr>
      </w:pPr>
    </w:p>
    <w:p w:rsidR="001C3FD0" w:rsidRPr="001B3EA2" w:rsidRDefault="001C3FD0" w:rsidP="009561DB">
      <w:pPr>
        <w:spacing w:after="0"/>
        <w:jc w:val="both"/>
        <w:rPr>
          <w:rFonts w:cs="Times New Roman"/>
          <w:color w:val="000000" w:themeColor="text1"/>
          <w:lang w:val="es-CO"/>
        </w:rPr>
      </w:pPr>
      <w:r w:rsidRPr="001B3EA2">
        <w:rPr>
          <w:rFonts w:cs="Times New Roman"/>
          <w:color w:val="000000" w:themeColor="text1"/>
          <w:lang w:val="es-CO"/>
        </w:rPr>
        <w:t xml:space="preserve">Dentro del mismo espectro, He, Li &amp; </w:t>
      </w:r>
      <w:proofErr w:type="spellStart"/>
      <w:r w:rsidRPr="001B3EA2">
        <w:rPr>
          <w:rFonts w:cs="Times New Roman"/>
          <w:color w:val="000000" w:themeColor="text1"/>
          <w:lang w:val="es-CO"/>
        </w:rPr>
        <w:t>Tang</w:t>
      </w:r>
      <w:proofErr w:type="spellEnd"/>
      <w:r w:rsidRPr="001B3EA2">
        <w:rPr>
          <w:rFonts w:cs="Times New Roman"/>
          <w:color w:val="000000" w:themeColor="text1"/>
          <w:lang w:val="es-CO"/>
        </w:rPr>
        <w:t xml:space="preserve"> (2012), señalan que la responsabilidad social de empresas estatales es sensible a la agenda y la cultura ética del gobierno: “si el gobierno promueve protección ambiental, las empresas estatales revisarán y reducirán sus influencias negativas en el medio ambiente; cuando el gobierno defiende la construcción de una sociedad armónica, las empresas estatales se preocuparán más por los derechos de sus grupos de interés” (He, Li &amp; </w:t>
      </w:r>
      <w:proofErr w:type="spellStart"/>
      <w:r w:rsidRPr="001B3EA2">
        <w:rPr>
          <w:rFonts w:cs="Times New Roman"/>
          <w:color w:val="000000" w:themeColor="text1"/>
          <w:lang w:val="es-CO"/>
        </w:rPr>
        <w:t>Tang</w:t>
      </w:r>
      <w:proofErr w:type="spellEnd"/>
      <w:r w:rsidRPr="001B3EA2">
        <w:rPr>
          <w:rFonts w:cs="Times New Roman"/>
          <w:color w:val="000000" w:themeColor="text1"/>
          <w:lang w:val="es-CO"/>
        </w:rPr>
        <w:t>, 2012: 110).</w:t>
      </w:r>
    </w:p>
    <w:p w:rsidR="001C3FD0" w:rsidRPr="001B3EA2" w:rsidRDefault="001C3FD0" w:rsidP="009561DB">
      <w:pPr>
        <w:autoSpaceDE w:val="0"/>
        <w:autoSpaceDN w:val="0"/>
        <w:adjustRightInd w:val="0"/>
        <w:spacing w:after="0"/>
        <w:jc w:val="both"/>
        <w:rPr>
          <w:rFonts w:cs="Times New Roman"/>
          <w:color w:val="000000" w:themeColor="text1"/>
          <w:lang w:val="es-CO"/>
        </w:rPr>
      </w:pPr>
    </w:p>
    <w:p w:rsidR="001C3FD0" w:rsidRPr="001B3EA2" w:rsidRDefault="00FD27C6" w:rsidP="009561DB">
      <w:pPr>
        <w:spacing w:after="0"/>
        <w:jc w:val="both"/>
        <w:rPr>
          <w:rFonts w:cs="Times New Roman"/>
          <w:color w:val="000000" w:themeColor="text1"/>
          <w:lang w:val="es-CO"/>
        </w:rPr>
      </w:pPr>
      <w:r w:rsidRPr="001B3EA2">
        <w:rPr>
          <w:rFonts w:cs="Times New Roman"/>
          <w:color w:val="000000" w:themeColor="text1"/>
          <w:lang w:val="es-CO"/>
        </w:rPr>
        <w:t>Los autores anteriores</w:t>
      </w:r>
      <w:r w:rsidR="001C3FD0" w:rsidRPr="001B3EA2">
        <w:rPr>
          <w:rFonts w:cs="Times New Roman"/>
          <w:color w:val="000000" w:themeColor="text1"/>
          <w:lang w:val="es-CO"/>
        </w:rPr>
        <w:t xml:space="preserve"> </w:t>
      </w:r>
      <w:r w:rsidR="00653FFC" w:rsidRPr="001B3EA2">
        <w:rPr>
          <w:rFonts w:cs="Times New Roman"/>
          <w:color w:val="000000" w:themeColor="text1"/>
          <w:lang w:val="es-CO"/>
        </w:rPr>
        <w:t>coincide</w:t>
      </w:r>
      <w:r w:rsidRPr="001B3EA2">
        <w:rPr>
          <w:rFonts w:cs="Times New Roman"/>
          <w:color w:val="000000" w:themeColor="text1"/>
          <w:lang w:val="es-CO"/>
        </w:rPr>
        <w:t>n</w:t>
      </w:r>
      <w:r w:rsidR="00653FFC" w:rsidRPr="001B3EA2">
        <w:rPr>
          <w:rFonts w:cs="Times New Roman"/>
          <w:color w:val="000000" w:themeColor="text1"/>
          <w:lang w:val="es-CO"/>
        </w:rPr>
        <w:t xml:space="preserve"> con </w:t>
      </w:r>
      <w:r w:rsidR="001C3FD0" w:rsidRPr="001B3EA2">
        <w:rPr>
          <w:rFonts w:cs="Times New Roman"/>
          <w:color w:val="000000" w:themeColor="text1"/>
          <w:lang w:val="es-CO"/>
        </w:rPr>
        <w:t>Ho (2013)</w:t>
      </w:r>
      <w:r w:rsidR="00653FFC" w:rsidRPr="001B3EA2">
        <w:rPr>
          <w:rFonts w:cs="Times New Roman"/>
          <w:color w:val="000000" w:themeColor="text1"/>
          <w:lang w:val="es-CO"/>
        </w:rPr>
        <w:t>,</w:t>
      </w:r>
      <w:r w:rsidR="001C3FD0" w:rsidRPr="001B3EA2">
        <w:rPr>
          <w:rFonts w:cs="Times New Roman"/>
          <w:color w:val="000000" w:themeColor="text1"/>
          <w:lang w:val="es-CO"/>
        </w:rPr>
        <w:t xml:space="preserve"> según la cual el estudio de la responsabilidad social de empresas estatales implica considerar tanto la ética de este tipo de empresas, como la ética de aquellas organizaciones públicas y sociales que intervienen directa o indirectamente en sus decisiones. </w:t>
      </w:r>
      <w:r w:rsidR="00653FFC" w:rsidRPr="001B3EA2">
        <w:rPr>
          <w:rFonts w:cs="Times New Roman"/>
          <w:color w:val="000000" w:themeColor="text1"/>
          <w:lang w:val="es-CO"/>
        </w:rPr>
        <w:t xml:space="preserve">De ahí que se justifique el reemplazo de la </w:t>
      </w:r>
      <w:r w:rsidR="00653FFC" w:rsidRPr="001B3EA2">
        <w:rPr>
          <w:rFonts w:cs="Times New Roman"/>
          <w:color w:val="000000" w:themeColor="text1"/>
          <w:lang w:val="es-CO"/>
        </w:rPr>
        <w:lastRenderedPageBreak/>
        <w:t>noción de Responsabilidad Social Empresarial (RSE) por el de Responsabilidad Social Organizacional (RSO) (</w:t>
      </w:r>
      <w:proofErr w:type="spellStart"/>
      <w:r w:rsidR="00653FFC" w:rsidRPr="001B3EA2">
        <w:rPr>
          <w:rFonts w:cs="Times New Roman"/>
          <w:color w:val="000000" w:themeColor="text1"/>
          <w:lang w:val="es-CO"/>
        </w:rPr>
        <w:t>Bento</w:t>
      </w:r>
      <w:proofErr w:type="spellEnd"/>
      <w:r w:rsidR="00653FFC" w:rsidRPr="001B3EA2">
        <w:rPr>
          <w:rFonts w:cs="Times New Roman"/>
          <w:color w:val="000000" w:themeColor="text1"/>
          <w:lang w:val="es-CO"/>
        </w:rPr>
        <w:t xml:space="preserve">, 2009). </w:t>
      </w:r>
    </w:p>
    <w:p w:rsidR="001C3FD0" w:rsidRPr="001B3EA2" w:rsidRDefault="001C3FD0" w:rsidP="009561DB">
      <w:pPr>
        <w:autoSpaceDE w:val="0"/>
        <w:autoSpaceDN w:val="0"/>
        <w:adjustRightInd w:val="0"/>
        <w:spacing w:after="0"/>
        <w:jc w:val="both"/>
        <w:rPr>
          <w:rFonts w:cs="Times New Roman"/>
          <w:color w:val="000000" w:themeColor="text1"/>
          <w:lang w:val="es-CO"/>
        </w:rPr>
      </w:pPr>
    </w:p>
    <w:p w:rsidR="000565DE" w:rsidRPr="001B3EA2" w:rsidRDefault="001E0CCB" w:rsidP="009561DB">
      <w:pPr>
        <w:spacing w:after="0"/>
        <w:jc w:val="both"/>
        <w:rPr>
          <w:rFonts w:cs="Times New Roman"/>
          <w:color w:val="000000" w:themeColor="text1"/>
          <w:u w:val="single"/>
          <w:lang w:val="es-CO"/>
        </w:rPr>
      </w:pPr>
      <w:r>
        <w:rPr>
          <w:rFonts w:cs="Times New Roman"/>
          <w:color w:val="000000" w:themeColor="text1"/>
          <w:u w:val="single"/>
          <w:lang w:val="es-CO"/>
        </w:rPr>
        <w:t>A</w:t>
      </w:r>
      <w:r w:rsidR="00653FFC" w:rsidRPr="001B3EA2">
        <w:rPr>
          <w:rFonts w:cs="Times New Roman"/>
          <w:color w:val="000000" w:themeColor="text1"/>
          <w:u w:val="single"/>
          <w:lang w:val="es-CO"/>
        </w:rPr>
        <w:t>vances en la construcción de una teoría prescriptiva-positiva de la RSE</w:t>
      </w:r>
    </w:p>
    <w:p w:rsidR="00653FFC" w:rsidRPr="001B3EA2" w:rsidRDefault="00653FFC" w:rsidP="009561DB">
      <w:pPr>
        <w:spacing w:after="0"/>
        <w:jc w:val="both"/>
        <w:rPr>
          <w:rFonts w:cs="Times New Roman"/>
          <w:color w:val="000000" w:themeColor="text1"/>
          <w:u w:val="single"/>
          <w:lang w:val="es-CO"/>
        </w:rPr>
      </w:pPr>
    </w:p>
    <w:p w:rsidR="00653FFC" w:rsidRPr="001B3EA2" w:rsidRDefault="003335F8" w:rsidP="009561DB">
      <w:pPr>
        <w:spacing w:after="0"/>
        <w:jc w:val="both"/>
        <w:rPr>
          <w:rFonts w:cs="Times New Roman"/>
          <w:color w:val="000000" w:themeColor="text1"/>
          <w:lang w:val="es-CO"/>
        </w:rPr>
      </w:pPr>
      <w:r w:rsidRPr="001B3EA2">
        <w:rPr>
          <w:rFonts w:cs="Times New Roman"/>
          <w:color w:val="000000" w:themeColor="text1"/>
          <w:lang w:val="es-CO"/>
        </w:rPr>
        <w:t>A partir de la clasificación integral de las investigaciones sobre RSE, Garrig</w:t>
      </w:r>
      <w:r w:rsidR="004B1323">
        <w:rPr>
          <w:rFonts w:cs="Times New Roman"/>
          <w:color w:val="000000" w:themeColor="text1"/>
          <w:lang w:val="es-CO"/>
        </w:rPr>
        <w:t>a y Melé (2004) identificaron tre</w:t>
      </w:r>
      <w:r w:rsidRPr="001B3EA2">
        <w:rPr>
          <w:rFonts w:cs="Times New Roman"/>
          <w:color w:val="000000" w:themeColor="text1"/>
          <w:lang w:val="es-CO"/>
        </w:rPr>
        <w:t>s d</w:t>
      </w:r>
      <w:r w:rsidR="001C7A0E" w:rsidRPr="001B3EA2">
        <w:rPr>
          <w:rFonts w:cs="Times New Roman"/>
          <w:color w:val="000000" w:themeColor="text1"/>
          <w:lang w:val="es-CO"/>
        </w:rPr>
        <w:t>ebilidades que sigue</w:t>
      </w:r>
      <w:r w:rsidRPr="001B3EA2">
        <w:rPr>
          <w:rFonts w:cs="Times New Roman"/>
          <w:color w:val="000000" w:themeColor="text1"/>
          <w:lang w:val="es-CO"/>
        </w:rPr>
        <w:t>n</w:t>
      </w:r>
      <w:r w:rsidR="001C7A0E" w:rsidRPr="001B3EA2">
        <w:rPr>
          <w:rFonts w:cs="Times New Roman"/>
          <w:color w:val="000000" w:themeColor="text1"/>
          <w:lang w:val="es-CO"/>
        </w:rPr>
        <w:t xml:space="preserve"> presentándose</w:t>
      </w:r>
      <w:r w:rsidRPr="001B3EA2">
        <w:rPr>
          <w:rFonts w:cs="Times New Roman"/>
          <w:color w:val="000000" w:themeColor="text1"/>
          <w:lang w:val="es-CO"/>
        </w:rPr>
        <w:t>: 1. E</w:t>
      </w:r>
      <w:r w:rsidR="001C7A0E" w:rsidRPr="001B3EA2">
        <w:rPr>
          <w:rFonts w:cs="Times New Roman"/>
          <w:color w:val="000000" w:themeColor="text1"/>
          <w:lang w:val="es-CO"/>
        </w:rPr>
        <w:t xml:space="preserve">l análisis </w:t>
      </w:r>
      <w:r w:rsidRPr="001B3EA2">
        <w:rPr>
          <w:rFonts w:cs="Times New Roman"/>
          <w:color w:val="000000" w:themeColor="text1"/>
          <w:lang w:val="es-CO"/>
        </w:rPr>
        <w:t>prescriptivo suele estar aislado del estudio positivo del fenómeno de la RSE a través de métodos de investigación social. 2. Los investigadores que se ocupan de dimensiones económica</w:t>
      </w:r>
      <w:r w:rsidR="002519D8" w:rsidRPr="001B3EA2">
        <w:rPr>
          <w:rFonts w:cs="Times New Roman"/>
          <w:color w:val="000000" w:themeColor="text1"/>
          <w:lang w:val="es-CO"/>
        </w:rPr>
        <w:t>s suelen dejar de lado las</w:t>
      </w:r>
      <w:r w:rsidRPr="001B3EA2">
        <w:rPr>
          <w:rFonts w:cs="Times New Roman"/>
          <w:color w:val="000000" w:themeColor="text1"/>
          <w:lang w:val="es-CO"/>
        </w:rPr>
        <w:t xml:space="preserve"> dimensiones </w:t>
      </w:r>
      <w:r w:rsidR="002519D8" w:rsidRPr="001B3EA2">
        <w:rPr>
          <w:rFonts w:cs="Times New Roman"/>
          <w:color w:val="000000" w:themeColor="text1"/>
          <w:lang w:val="es-CO"/>
        </w:rPr>
        <w:t xml:space="preserve">políticas, éticas y culturales; </w:t>
      </w:r>
      <w:r w:rsidRPr="001B3EA2">
        <w:rPr>
          <w:rFonts w:cs="Times New Roman"/>
          <w:color w:val="000000" w:themeColor="text1"/>
          <w:lang w:val="es-CO"/>
        </w:rPr>
        <w:t xml:space="preserve">y viceversa. 3. </w:t>
      </w:r>
      <w:r w:rsidR="00807F33" w:rsidRPr="001B3EA2">
        <w:rPr>
          <w:rFonts w:cs="Times New Roman"/>
          <w:color w:val="000000" w:themeColor="text1"/>
          <w:lang w:val="es-CO"/>
        </w:rPr>
        <w:t>Persiste una</w:t>
      </w:r>
      <w:r w:rsidRPr="001B3EA2">
        <w:rPr>
          <w:rFonts w:cs="Times New Roman"/>
          <w:color w:val="000000" w:themeColor="text1"/>
          <w:lang w:val="es-CO"/>
        </w:rPr>
        <w:t xml:space="preserve"> irresuelta tensión entre teorías éticas opuestas</w:t>
      </w:r>
      <w:r w:rsidR="00F46B66" w:rsidRPr="001B3EA2">
        <w:rPr>
          <w:rFonts w:cs="Times New Roman"/>
          <w:color w:val="000000" w:themeColor="text1"/>
          <w:lang w:val="es-CO"/>
        </w:rPr>
        <w:t>, que</w:t>
      </w:r>
      <w:r w:rsidRPr="001B3EA2">
        <w:rPr>
          <w:rFonts w:cs="Times New Roman"/>
          <w:color w:val="000000" w:themeColor="text1"/>
          <w:lang w:val="es-CO"/>
        </w:rPr>
        <w:t xml:space="preserve"> impide acuerdos mínimos respecto a cómo definir y ejecutar una responsabilidad social correcta por parte de las organizaciones.  </w:t>
      </w:r>
    </w:p>
    <w:p w:rsidR="001C7A0E" w:rsidRPr="001B3EA2" w:rsidRDefault="001C7A0E" w:rsidP="009561DB">
      <w:pPr>
        <w:spacing w:after="0"/>
        <w:jc w:val="both"/>
        <w:rPr>
          <w:rFonts w:cs="Times New Roman"/>
          <w:color w:val="000000" w:themeColor="text1"/>
          <w:lang w:val="es-CO"/>
        </w:rPr>
      </w:pPr>
    </w:p>
    <w:p w:rsidR="00B14AE9" w:rsidRPr="001B3EA2" w:rsidRDefault="00B14AE9" w:rsidP="009561DB">
      <w:pPr>
        <w:spacing w:after="0"/>
        <w:jc w:val="both"/>
        <w:rPr>
          <w:rFonts w:cs="Times New Roman"/>
          <w:color w:val="000000" w:themeColor="text1"/>
          <w:lang w:val="es-CO"/>
        </w:rPr>
      </w:pPr>
      <w:proofErr w:type="spellStart"/>
      <w:r w:rsidRPr="001B3EA2">
        <w:rPr>
          <w:rFonts w:cs="Times New Roman"/>
          <w:color w:val="000000" w:themeColor="text1"/>
          <w:lang w:val="es-CO"/>
        </w:rPr>
        <w:t>Schreck</w:t>
      </w:r>
      <w:proofErr w:type="spellEnd"/>
      <w:r w:rsidRPr="001B3EA2">
        <w:rPr>
          <w:rFonts w:cs="Times New Roman"/>
          <w:color w:val="000000" w:themeColor="text1"/>
          <w:lang w:val="es-CO"/>
        </w:rPr>
        <w:t xml:space="preserve">, van </w:t>
      </w:r>
      <w:proofErr w:type="spellStart"/>
      <w:r w:rsidRPr="001B3EA2">
        <w:rPr>
          <w:rFonts w:cs="Times New Roman"/>
          <w:color w:val="000000" w:themeColor="text1"/>
          <w:lang w:val="es-CO"/>
        </w:rPr>
        <w:t>Aaken</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Donaldson</w:t>
      </w:r>
      <w:proofErr w:type="spellEnd"/>
      <w:r w:rsidRPr="001B3EA2">
        <w:rPr>
          <w:rFonts w:cs="Times New Roman"/>
          <w:color w:val="000000" w:themeColor="text1"/>
          <w:lang w:val="es-CO"/>
        </w:rPr>
        <w:t xml:space="preserve"> (2013) </w:t>
      </w:r>
      <w:r w:rsidR="003335F8" w:rsidRPr="001B3EA2">
        <w:rPr>
          <w:rFonts w:cs="Times New Roman"/>
          <w:color w:val="000000" w:themeColor="text1"/>
          <w:lang w:val="es-CO"/>
        </w:rPr>
        <w:t>presentan avances que permiten enfrentar las dos primeras debilidades</w:t>
      </w:r>
      <w:r w:rsidR="0022156D" w:rsidRPr="001B3EA2">
        <w:rPr>
          <w:rStyle w:val="Refdenotaalpie"/>
          <w:rFonts w:cs="Times New Roman"/>
          <w:color w:val="000000" w:themeColor="text1"/>
          <w:lang w:val="es-CO"/>
        </w:rPr>
        <w:footnoteReference w:id="5"/>
      </w:r>
      <w:r w:rsidR="003335F8" w:rsidRPr="001B3EA2">
        <w:rPr>
          <w:rFonts w:cs="Times New Roman"/>
          <w:color w:val="000000" w:themeColor="text1"/>
          <w:lang w:val="es-CO"/>
        </w:rPr>
        <w:t xml:space="preserve">. Desde el campo de la economía positiva, formulan </w:t>
      </w:r>
      <w:r w:rsidR="0022156D" w:rsidRPr="001B3EA2">
        <w:rPr>
          <w:rFonts w:cs="Times New Roman"/>
          <w:color w:val="000000" w:themeColor="text1"/>
          <w:lang w:val="es-CO"/>
        </w:rPr>
        <w:t>un silogismo</w:t>
      </w:r>
      <w:r w:rsidR="006018E5" w:rsidRPr="001B3EA2">
        <w:rPr>
          <w:rFonts w:cs="Times New Roman"/>
          <w:color w:val="000000" w:themeColor="text1"/>
          <w:lang w:val="es-CO"/>
        </w:rPr>
        <w:t xml:space="preserve"> de medios y fines para integrar la prescripción y descripción de la RSE. Este silogismo, enraizado en </w:t>
      </w:r>
      <w:r w:rsidR="003335F8" w:rsidRPr="001B3EA2">
        <w:rPr>
          <w:rFonts w:cs="Times New Roman"/>
          <w:color w:val="000000" w:themeColor="text1"/>
          <w:lang w:val="es-CO"/>
        </w:rPr>
        <w:t>el pensamiento aristotélico base de la ética de la virtud en Occidente</w:t>
      </w:r>
      <w:r w:rsidR="006018E5" w:rsidRPr="001B3EA2">
        <w:rPr>
          <w:rFonts w:cs="Times New Roman"/>
          <w:color w:val="000000" w:themeColor="text1"/>
          <w:lang w:val="es-CO"/>
        </w:rPr>
        <w:t xml:space="preserve"> (“deliberamos sobre lo que está en nuestro poder y es realizable”, Aristóteles, 1995: 18</w:t>
      </w:r>
      <w:r w:rsidR="0022156D" w:rsidRPr="001B3EA2">
        <w:rPr>
          <w:rFonts w:cs="Times New Roman"/>
          <w:color w:val="000000" w:themeColor="text1"/>
          <w:lang w:val="es-CO"/>
        </w:rPr>
        <w:t>6), se compone de tres premisas:</w:t>
      </w:r>
      <w:r w:rsidR="006018E5" w:rsidRPr="001B3EA2">
        <w:rPr>
          <w:rFonts w:cs="Times New Roman"/>
          <w:color w:val="000000" w:themeColor="text1"/>
          <w:lang w:val="es-CO"/>
        </w:rPr>
        <w:t xml:space="preserve"> i. Una prescripción ética: lo que </w:t>
      </w:r>
      <w:r w:rsidR="006018E5" w:rsidRPr="001B3EA2">
        <w:rPr>
          <w:rFonts w:cs="Times New Roman"/>
          <w:i/>
          <w:color w:val="000000" w:themeColor="text1"/>
          <w:lang w:val="es-CO"/>
        </w:rPr>
        <w:t>debe</w:t>
      </w:r>
      <w:r w:rsidR="006018E5" w:rsidRPr="001B3EA2">
        <w:rPr>
          <w:rFonts w:cs="Times New Roman"/>
          <w:color w:val="000000" w:themeColor="text1"/>
          <w:lang w:val="es-CO"/>
        </w:rPr>
        <w:t xml:space="preserve"> hacer la empresa. ii. Una descripción empírica: lo que </w:t>
      </w:r>
      <w:r w:rsidR="006018E5" w:rsidRPr="001B3EA2">
        <w:rPr>
          <w:rFonts w:cs="Times New Roman"/>
          <w:i/>
          <w:color w:val="000000" w:themeColor="text1"/>
          <w:lang w:val="es-CO"/>
        </w:rPr>
        <w:t>puede</w:t>
      </w:r>
      <w:r w:rsidR="006018E5" w:rsidRPr="001B3EA2">
        <w:rPr>
          <w:rFonts w:cs="Times New Roman"/>
          <w:color w:val="000000" w:themeColor="text1"/>
          <w:lang w:val="es-CO"/>
        </w:rPr>
        <w:t xml:space="preserve"> hacer la empresa. iii. Una prescripción para la acción: lo que </w:t>
      </w:r>
      <w:r w:rsidR="006018E5" w:rsidRPr="001B3EA2">
        <w:rPr>
          <w:rFonts w:cs="Times New Roman"/>
          <w:i/>
          <w:color w:val="000000" w:themeColor="text1"/>
          <w:lang w:val="es-CO"/>
        </w:rPr>
        <w:t>debe</w:t>
      </w:r>
      <w:r w:rsidR="006018E5" w:rsidRPr="001B3EA2">
        <w:rPr>
          <w:rFonts w:cs="Times New Roman"/>
          <w:color w:val="000000" w:themeColor="text1"/>
          <w:lang w:val="es-CO"/>
        </w:rPr>
        <w:t xml:space="preserve"> hacer la empresa </w:t>
      </w:r>
      <w:r w:rsidR="006018E5" w:rsidRPr="001B3EA2">
        <w:rPr>
          <w:rFonts w:cs="Times New Roman"/>
          <w:i/>
          <w:color w:val="000000" w:themeColor="text1"/>
          <w:lang w:val="es-CO"/>
        </w:rPr>
        <w:t>según sus circunstancias</w:t>
      </w:r>
      <w:r w:rsidR="006018E5" w:rsidRPr="001B3EA2">
        <w:rPr>
          <w:rFonts w:cs="Times New Roman"/>
          <w:color w:val="000000" w:themeColor="text1"/>
          <w:lang w:val="es-CO"/>
        </w:rPr>
        <w:t>.</w:t>
      </w:r>
      <w:r w:rsidRPr="001B3EA2">
        <w:rPr>
          <w:rFonts w:cs="Times New Roman"/>
          <w:color w:val="000000" w:themeColor="text1"/>
          <w:lang w:val="es-CO"/>
        </w:rPr>
        <w:t xml:space="preserve"> Ver figura 2:  </w:t>
      </w:r>
      <w:r w:rsidR="006018E5" w:rsidRPr="001B3EA2">
        <w:rPr>
          <w:rFonts w:cs="Times New Roman"/>
          <w:color w:val="000000" w:themeColor="text1"/>
          <w:lang w:val="es-CO"/>
        </w:rPr>
        <w:t xml:space="preserve"> </w:t>
      </w:r>
    </w:p>
    <w:p w:rsidR="004B4366" w:rsidRDefault="004B4366" w:rsidP="009561DB">
      <w:pPr>
        <w:spacing w:after="0"/>
        <w:rPr>
          <w:rFonts w:cs="Times New Roman"/>
          <w:b/>
          <w:noProof/>
          <w:color w:val="000000" w:themeColor="text1"/>
          <w:lang w:val="es-CO" w:eastAsia="es-CO"/>
        </w:rPr>
      </w:pPr>
    </w:p>
    <w:p w:rsidR="004B4366" w:rsidRDefault="004B4366" w:rsidP="009561DB">
      <w:pPr>
        <w:spacing w:after="0"/>
        <w:rPr>
          <w:rFonts w:cs="Times New Roman"/>
          <w:b/>
          <w:noProof/>
          <w:color w:val="000000" w:themeColor="text1"/>
          <w:lang w:val="es-CO" w:eastAsia="es-CO"/>
        </w:rPr>
      </w:pPr>
      <w:r w:rsidRPr="001B3EA2">
        <w:rPr>
          <w:rFonts w:cs="Times New Roman"/>
          <w:color w:val="000000" w:themeColor="text1"/>
          <w:u w:val="single"/>
          <w:lang w:val="es-CO"/>
        </w:rPr>
        <w:t>Figura 2. Estructura conceptual para el análisis normativo-positivo de la RSE</w:t>
      </w:r>
    </w:p>
    <w:p w:rsidR="004B4366" w:rsidRDefault="004B4366" w:rsidP="009561DB">
      <w:pPr>
        <w:spacing w:after="0"/>
        <w:rPr>
          <w:rFonts w:cs="Times New Roman"/>
          <w:b/>
          <w:noProof/>
          <w:color w:val="000000" w:themeColor="text1"/>
          <w:lang w:val="es-CO" w:eastAsia="es-CO"/>
        </w:rPr>
      </w:pPr>
    </w:p>
    <w:p w:rsidR="00B14AE9" w:rsidRPr="001B3EA2" w:rsidRDefault="004B4366" w:rsidP="009561DB">
      <w:pPr>
        <w:spacing w:after="0"/>
        <w:rPr>
          <w:rFonts w:cs="Times New Roman"/>
          <w:color w:val="000000" w:themeColor="text1"/>
          <w:u w:val="single"/>
          <w:lang w:val="es-CO"/>
        </w:rPr>
      </w:pPr>
      <w:r w:rsidRPr="001B3EA2">
        <w:rPr>
          <w:rFonts w:cs="Times New Roman"/>
          <w:b/>
          <w:noProof/>
          <w:color w:val="000000" w:themeColor="text1"/>
          <w:lang w:val="es-CO" w:eastAsia="es-CO"/>
        </w:rPr>
        <w:drawing>
          <wp:anchor distT="0" distB="0" distL="114300" distR="114300" simplePos="0" relativeHeight="251660288" behindDoc="0" locked="0" layoutInCell="1" allowOverlap="1" wp14:anchorId="774C85A5" wp14:editId="4DB014F5">
            <wp:simplePos x="0" y="0"/>
            <wp:positionH relativeFrom="column">
              <wp:align>left</wp:align>
            </wp:positionH>
            <wp:positionV relativeFrom="paragraph">
              <wp:align>top</wp:align>
            </wp:positionV>
            <wp:extent cx="2352675" cy="2524125"/>
            <wp:effectExtent l="0" t="0" r="0" b="9525"/>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B14AE9" w:rsidRPr="001B3EA2" w:rsidRDefault="00B14AE9" w:rsidP="009561DB">
      <w:pPr>
        <w:spacing w:after="0"/>
        <w:jc w:val="right"/>
        <w:rPr>
          <w:rFonts w:cs="Times New Roman"/>
          <w:color w:val="000000" w:themeColor="text1"/>
          <w:lang w:val="es-CO"/>
        </w:rPr>
      </w:pPr>
      <w:r w:rsidRPr="001B3EA2">
        <w:rPr>
          <w:rFonts w:cs="Times New Roman"/>
          <w:color w:val="000000" w:themeColor="text1"/>
          <w:lang w:val="es-CO"/>
        </w:rPr>
        <w:br w:type="textWrapping" w:clear="all"/>
        <w:t xml:space="preserve">Elaboración propia con base en </w:t>
      </w:r>
      <w:proofErr w:type="spellStart"/>
      <w:r w:rsidRPr="001B3EA2">
        <w:rPr>
          <w:rFonts w:cs="Times New Roman"/>
          <w:color w:val="000000" w:themeColor="text1"/>
          <w:lang w:val="es-CO"/>
        </w:rPr>
        <w:t>Schreck</w:t>
      </w:r>
      <w:proofErr w:type="spellEnd"/>
      <w:r w:rsidRPr="001B3EA2">
        <w:rPr>
          <w:rFonts w:cs="Times New Roman"/>
          <w:color w:val="000000" w:themeColor="text1"/>
          <w:lang w:val="es-CO"/>
        </w:rPr>
        <w:t xml:space="preserve">, van </w:t>
      </w:r>
      <w:proofErr w:type="spellStart"/>
      <w:r w:rsidRPr="001B3EA2">
        <w:rPr>
          <w:rFonts w:cs="Times New Roman"/>
          <w:color w:val="000000" w:themeColor="text1"/>
          <w:lang w:val="es-CO"/>
        </w:rPr>
        <w:t>Aaken</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Donaldson</w:t>
      </w:r>
      <w:proofErr w:type="spellEnd"/>
      <w:r w:rsidRPr="001B3EA2">
        <w:rPr>
          <w:rFonts w:cs="Times New Roman"/>
          <w:color w:val="000000" w:themeColor="text1"/>
          <w:lang w:val="es-CO"/>
        </w:rPr>
        <w:t xml:space="preserve"> (2013)</w:t>
      </w:r>
    </w:p>
    <w:p w:rsidR="00D4780F" w:rsidRDefault="00D4780F" w:rsidP="009561DB">
      <w:pPr>
        <w:spacing w:after="0"/>
        <w:jc w:val="both"/>
        <w:rPr>
          <w:rFonts w:cs="Times New Roman"/>
          <w:color w:val="000000" w:themeColor="text1"/>
          <w:lang w:val="es-CO"/>
        </w:rPr>
      </w:pPr>
    </w:p>
    <w:p w:rsidR="00D4780F" w:rsidRDefault="00D4780F" w:rsidP="009561DB">
      <w:pPr>
        <w:spacing w:after="0"/>
        <w:jc w:val="both"/>
        <w:rPr>
          <w:rFonts w:cs="Times New Roman"/>
          <w:color w:val="000000" w:themeColor="text1"/>
          <w:lang w:val="es-CO"/>
        </w:rPr>
      </w:pPr>
    </w:p>
    <w:p w:rsidR="006018E5" w:rsidRPr="001B3EA2" w:rsidRDefault="006018E5" w:rsidP="009561DB">
      <w:pPr>
        <w:spacing w:after="0"/>
        <w:jc w:val="both"/>
        <w:rPr>
          <w:rFonts w:cs="Times New Roman"/>
          <w:color w:val="000000" w:themeColor="text1"/>
          <w:lang w:val="es-CO"/>
        </w:rPr>
      </w:pPr>
      <w:r w:rsidRPr="001B3EA2">
        <w:rPr>
          <w:rFonts w:cs="Times New Roman"/>
          <w:color w:val="000000" w:themeColor="text1"/>
          <w:lang w:val="es-CO"/>
        </w:rPr>
        <w:t xml:space="preserve">A manera de ejemplo: </w:t>
      </w:r>
    </w:p>
    <w:p w:rsidR="006018E5" w:rsidRPr="001B3EA2" w:rsidRDefault="006018E5" w:rsidP="009561DB">
      <w:pPr>
        <w:pStyle w:val="Prrafodelista"/>
        <w:numPr>
          <w:ilvl w:val="1"/>
          <w:numId w:val="8"/>
        </w:numPr>
        <w:spacing w:after="0"/>
        <w:jc w:val="both"/>
        <w:rPr>
          <w:rFonts w:cs="Times New Roman"/>
          <w:color w:val="000000" w:themeColor="text1"/>
          <w:lang w:val="es-CO"/>
        </w:rPr>
      </w:pPr>
      <w:r w:rsidRPr="001B3EA2">
        <w:rPr>
          <w:rFonts w:cs="Times New Roman"/>
          <w:color w:val="000000" w:themeColor="text1"/>
          <w:lang w:val="es-CO"/>
        </w:rPr>
        <w:t xml:space="preserve">“Las empresas no deberían ser corruptas (premisa basada en un principio normativo). </w:t>
      </w:r>
    </w:p>
    <w:p w:rsidR="00030C75" w:rsidRPr="001B3EA2" w:rsidRDefault="006018E5" w:rsidP="009561DB">
      <w:pPr>
        <w:pStyle w:val="Prrafodelista"/>
        <w:numPr>
          <w:ilvl w:val="1"/>
          <w:numId w:val="8"/>
        </w:numPr>
        <w:spacing w:after="0"/>
        <w:jc w:val="both"/>
        <w:rPr>
          <w:rFonts w:cs="Times New Roman"/>
          <w:color w:val="000000" w:themeColor="text1"/>
          <w:lang w:val="es-CO"/>
        </w:rPr>
      </w:pPr>
      <w:r w:rsidRPr="001B3EA2">
        <w:rPr>
          <w:rFonts w:cs="Times New Roman"/>
          <w:color w:val="000000" w:themeColor="text1"/>
          <w:lang w:val="es-CO"/>
        </w:rPr>
        <w:lastRenderedPageBreak/>
        <w:t>La legislación es el mejor medio en contra de la corrupción (premisa acerca de condiciones factuales).</w:t>
      </w:r>
    </w:p>
    <w:p w:rsidR="006018E5" w:rsidRPr="001B3EA2" w:rsidRDefault="006018E5" w:rsidP="009561DB">
      <w:pPr>
        <w:pStyle w:val="Prrafodelista"/>
        <w:numPr>
          <w:ilvl w:val="1"/>
          <w:numId w:val="8"/>
        </w:numPr>
        <w:spacing w:after="0"/>
        <w:jc w:val="both"/>
        <w:rPr>
          <w:rFonts w:cs="Times New Roman"/>
          <w:color w:val="000000" w:themeColor="text1"/>
          <w:lang w:val="es-CO"/>
        </w:rPr>
      </w:pPr>
      <w:r w:rsidRPr="001B3EA2">
        <w:rPr>
          <w:rFonts w:cs="Times New Roman"/>
          <w:color w:val="000000" w:themeColor="text1"/>
          <w:lang w:val="es-CO"/>
        </w:rPr>
        <w:t>Todas las firmas deberían hacer esfuerzos para adherirse a la legislació</w:t>
      </w:r>
      <w:r w:rsidR="00B14AE9" w:rsidRPr="001B3EA2">
        <w:rPr>
          <w:rFonts w:cs="Times New Roman"/>
          <w:color w:val="000000" w:themeColor="text1"/>
          <w:lang w:val="es-CO"/>
        </w:rPr>
        <w:t>n (prescripción para la acción)”</w:t>
      </w:r>
      <w:r w:rsidRPr="001B3EA2">
        <w:rPr>
          <w:rFonts w:cs="Times New Roman"/>
          <w:color w:val="000000" w:themeColor="text1"/>
          <w:lang w:val="es-CO"/>
        </w:rPr>
        <w:t xml:space="preserve"> </w:t>
      </w:r>
      <w:r w:rsidR="00B14AE9" w:rsidRPr="001B3EA2">
        <w:rPr>
          <w:rFonts w:cs="Times New Roman"/>
          <w:color w:val="000000" w:themeColor="text1"/>
          <w:lang w:val="es-CO"/>
        </w:rPr>
        <w:t>(</w:t>
      </w:r>
      <w:proofErr w:type="spellStart"/>
      <w:r w:rsidR="00B14AE9" w:rsidRPr="001B3EA2">
        <w:rPr>
          <w:rFonts w:cs="Times New Roman"/>
          <w:color w:val="000000" w:themeColor="text1"/>
          <w:lang w:val="es-CO"/>
        </w:rPr>
        <w:t>Schreck</w:t>
      </w:r>
      <w:proofErr w:type="spellEnd"/>
      <w:r w:rsidR="00B14AE9" w:rsidRPr="001B3EA2">
        <w:rPr>
          <w:rFonts w:cs="Times New Roman"/>
          <w:color w:val="000000" w:themeColor="text1"/>
          <w:lang w:val="es-CO"/>
        </w:rPr>
        <w:t xml:space="preserve">, van </w:t>
      </w:r>
      <w:proofErr w:type="spellStart"/>
      <w:r w:rsidR="00B14AE9" w:rsidRPr="001B3EA2">
        <w:rPr>
          <w:rFonts w:cs="Times New Roman"/>
          <w:color w:val="000000" w:themeColor="text1"/>
          <w:lang w:val="es-CO"/>
        </w:rPr>
        <w:t>Aaken</w:t>
      </w:r>
      <w:proofErr w:type="spellEnd"/>
      <w:r w:rsidR="00B14AE9" w:rsidRPr="001B3EA2">
        <w:rPr>
          <w:rFonts w:cs="Times New Roman"/>
          <w:color w:val="000000" w:themeColor="text1"/>
          <w:lang w:val="es-CO"/>
        </w:rPr>
        <w:t xml:space="preserve"> &amp; </w:t>
      </w:r>
      <w:proofErr w:type="spellStart"/>
      <w:r w:rsidR="00B14AE9" w:rsidRPr="001B3EA2">
        <w:rPr>
          <w:rFonts w:cs="Times New Roman"/>
          <w:color w:val="000000" w:themeColor="text1"/>
          <w:lang w:val="es-CO"/>
        </w:rPr>
        <w:t>Donaldson</w:t>
      </w:r>
      <w:proofErr w:type="spellEnd"/>
      <w:r w:rsidR="00B14AE9" w:rsidRPr="001B3EA2">
        <w:rPr>
          <w:rFonts w:cs="Times New Roman"/>
          <w:color w:val="000000" w:themeColor="text1"/>
          <w:lang w:val="es-CO"/>
        </w:rPr>
        <w:t xml:space="preserve"> (2013</w:t>
      </w:r>
      <w:r w:rsidRPr="001B3EA2">
        <w:rPr>
          <w:rFonts w:cs="Times New Roman"/>
          <w:color w:val="000000" w:themeColor="text1"/>
          <w:lang w:val="es-CO"/>
        </w:rPr>
        <w:t xml:space="preserve">: 200).   </w:t>
      </w:r>
    </w:p>
    <w:p w:rsidR="000565DE" w:rsidRPr="001B3EA2" w:rsidRDefault="000565DE" w:rsidP="009561DB">
      <w:pPr>
        <w:spacing w:after="0"/>
        <w:jc w:val="both"/>
        <w:rPr>
          <w:rFonts w:cs="Times New Roman"/>
          <w:color w:val="000000" w:themeColor="text1"/>
          <w:lang w:val="es-CO"/>
        </w:rPr>
      </w:pPr>
    </w:p>
    <w:p w:rsidR="007439DC" w:rsidRPr="001B3EA2" w:rsidRDefault="002A79FF" w:rsidP="009561DB">
      <w:pPr>
        <w:spacing w:after="0"/>
        <w:jc w:val="both"/>
        <w:rPr>
          <w:rFonts w:cs="Times New Roman"/>
          <w:color w:val="000000" w:themeColor="text1"/>
          <w:lang w:val="es-CO"/>
        </w:rPr>
      </w:pPr>
      <w:r w:rsidRPr="001B3EA2">
        <w:rPr>
          <w:rFonts w:cs="Times New Roman"/>
          <w:color w:val="000000" w:themeColor="text1"/>
          <w:lang w:val="es-CO"/>
        </w:rPr>
        <w:t>La estructura conceptual anterior</w:t>
      </w:r>
      <w:r w:rsidR="00D4780F">
        <w:rPr>
          <w:rFonts w:cs="Times New Roman"/>
          <w:color w:val="000000" w:themeColor="text1"/>
          <w:lang w:val="es-CO"/>
        </w:rPr>
        <w:t xml:space="preserve"> exige </w:t>
      </w:r>
      <w:r w:rsidR="00125581" w:rsidRPr="001B3EA2">
        <w:rPr>
          <w:rFonts w:cs="Times New Roman"/>
          <w:color w:val="000000" w:themeColor="text1"/>
          <w:lang w:val="es-CO"/>
        </w:rPr>
        <w:t xml:space="preserve">acercarse al análisis de teorías éticas a partir de </w:t>
      </w:r>
      <w:r w:rsidR="00F40639" w:rsidRPr="001B3EA2">
        <w:rPr>
          <w:rFonts w:cs="Times New Roman"/>
          <w:color w:val="000000" w:themeColor="text1"/>
          <w:lang w:val="es-CO"/>
        </w:rPr>
        <w:t>las cuales pueda definir</w:t>
      </w:r>
      <w:r w:rsidR="00D4780F">
        <w:rPr>
          <w:rFonts w:cs="Times New Roman"/>
          <w:color w:val="000000" w:themeColor="text1"/>
          <w:lang w:val="es-CO"/>
        </w:rPr>
        <w:t>se</w:t>
      </w:r>
      <w:r w:rsidR="00F40639" w:rsidRPr="001B3EA2">
        <w:rPr>
          <w:rFonts w:cs="Times New Roman"/>
          <w:color w:val="000000" w:themeColor="text1"/>
          <w:lang w:val="es-CO"/>
        </w:rPr>
        <w:t xml:space="preserve"> una pres</w:t>
      </w:r>
      <w:r w:rsidR="00125581" w:rsidRPr="001B3EA2">
        <w:rPr>
          <w:rFonts w:cs="Times New Roman"/>
          <w:color w:val="000000" w:themeColor="text1"/>
          <w:lang w:val="es-CO"/>
        </w:rPr>
        <w:t>cripción inicial</w:t>
      </w:r>
      <w:r w:rsidR="00F40639" w:rsidRPr="001B3EA2">
        <w:rPr>
          <w:rFonts w:cs="Times New Roman"/>
          <w:color w:val="000000" w:themeColor="text1"/>
          <w:lang w:val="es-CO"/>
        </w:rPr>
        <w:t xml:space="preserve"> en relación con la RSE</w:t>
      </w:r>
      <w:r w:rsidR="0022156D" w:rsidRPr="001B3EA2">
        <w:rPr>
          <w:rFonts w:cs="Times New Roman"/>
          <w:color w:val="000000" w:themeColor="text1"/>
          <w:lang w:val="es-CO"/>
        </w:rPr>
        <w:t>;</w:t>
      </w:r>
      <w:r w:rsidR="00125581" w:rsidRPr="001B3EA2">
        <w:rPr>
          <w:rFonts w:cs="Times New Roman"/>
          <w:color w:val="000000" w:themeColor="text1"/>
          <w:lang w:val="es-CO"/>
        </w:rPr>
        <w:t xml:space="preserve"> pero también supone que </w:t>
      </w:r>
      <w:r w:rsidR="00F40639" w:rsidRPr="001B3EA2">
        <w:rPr>
          <w:rFonts w:cs="Times New Roman"/>
          <w:color w:val="000000" w:themeColor="text1"/>
          <w:lang w:val="es-CO"/>
        </w:rPr>
        <w:t>dicha prescripción se contraste</w:t>
      </w:r>
      <w:r w:rsidR="00125581" w:rsidRPr="001B3EA2">
        <w:rPr>
          <w:rFonts w:cs="Times New Roman"/>
          <w:color w:val="000000" w:themeColor="text1"/>
          <w:lang w:val="es-CO"/>
        </w:rPr>
        <w:t xml:space="preserve"> con los hallazgos fruto de indagaciones emp</w:t>
      </w:r>
      <w:r w:rsidR="0022156D" w:rsidRPr="001B3EA2">
        <w:rPr>
          <w:rFonts w:cs="Times New Roman"/>
          <w:color w:val="000000" w:themeColor="text1"/>
          <w:lang w:val="es-CO"/>
        </w:rPr>
        <w:t>íricas,</w:t>
      </w:r>
      <w:r w:rsidR="00125581" w:rsidRPr="001B3EA2">
        <w:rPr>
          <w:rFonts w:cs="Times New Roman"/>
          <w:color w:val="000000" w:themeColor="text1"/>
          <w:lang w:val="es-CO"/>
        </w:rPr>
        <w:t xml:space="preserve"> para finalmente arribar a una prescripción viable en medio de las condiciones económicas, políticas y culturales que subyacen a toda práctica de RSE. </w:t>
      </w:r>
    </w:p>
    <w:p w:rsidR="00D64F51" w:rsidRDefault="00D64F51" w:rsidP="009561DB">
      <w:pPr>
        <w:spacing w:after="0"/>
        <w:jc w:val="both"/>
        <w:rPr>
          <w:rFonts w:cs="Times New Roman"/>
          <w:color w:val="000000" w:themeColor="text1"/>
          <w:lang w:val="es-CO"/>
        </w:rPr>
      </w:pPr>
    </w:p>
    <w:p w:rsidR="002A79FF" w:rsidRPr="001B3EA2" w:rsidRDefault="002A79FF" w:rsidP="009561DB">
      <w:pPr>
        <w:spacing w:after="0"/>
        <w:jc w:val="both"/>
        <w:rPr>
          <w:rFonts w:cs="Times New Roman"/>
          <w:color w:val="000000" w:themeColor="text1"/>
          <w:lang w:val="es-CO"/>
        </w:rPr>
      </w:pPr>
      <w:r w:rsidRPr="001B3EA2">
        <w:rPr>
          <w:rFonts w:cs="Times New Roman"/>
          <w:color w:val="000000" w:themeColor="text1"/>
          <w:lang w:val="es-CO"/>
        </w:rPr>
        <w:t xml:space="preserve">La estructura conceptual propuesta por </w:t>
      </w:r>
      <w:proofErr w:type="spellStart"/>
      <w:r w:rsidRPr="001B3EA2">
        <w:rPr>
          <w:rFonts w:cs="Times New Roman"/>
          <w:color w:val="000000" w:themeColor="text1"/>
          <w:lang w:val="es-CO"/>
        </w:rPr>
        <w:t>Schreck</w:t>
      </w:r>
      <w:proofErr w:type="spellEnd"/>
      <w:r w:rsidRPr="001B3EA2">
        <w:rPr>
          <w:rFonts w:cs="Times New Roman"/>
          <w:color w:val="000000" w:themeColor="text1"/>
          <w:lang w:val="es-CO"/>
        </w:rPr>
        <w:t xml:space="preserve">, van </w:t>
      </w:r>
      <w:proofErr w:type="spellStart"/>
      <w:r w:rsidRPr="001B3EA2">
        <w:rPr>
          <w:rFonts w:cs="Times New Roman"/>
          <w:color w:val="000000" w:themeColor="text1"/>
          <w:lang w:val="es-CO"/>
        </w:rPr>
        <w:t>Aaken</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Donaldson</w:t>
      </w:r>
      <w:proofErr w:type="spellEnd"/>
      <w:r w:rsidRPr="001B3EA2">
        <w:rPr>
          <w:rFonts w:cs="Times New Roman"/>
          <w:color w:val="000000" w:themeColor="text1"/>
          <w:lang w:val="es-CO"/>
        </w:rPr>
        <w:t xml:space="preserve"> (2013)</w:t>
      </w:r>
      <w:r w:rsidR="00EB5456" w:rsidRPr="001B3EA2">
        <w:rPr>
          <w:rFonts w:cs="Times New Roman"/>
          <w:color w:val="000000" w:themeColor="text1"/>
          <w:lang w:val="es-CO"/>
        </w:rPr>
        <w:t>,</w:t>
      </w:r>
      <w:r w:rsidRPr="001B3EA2">
        <w:rPr>
          <w:rFonts w:cs="Times New Roman"/>
          <w:color w:val="000000" w:themeColor="text1"/>
          <w:lang w:val="es-CO"/>
        </w:rPr>
        <w:t xml:space="preserve"> puede mejorarse si a cada uno de sus tres bloques se incorporan los siguientes elementos: </w:t>
      </w:r>
    </w:p>
    <w:p w:rsidR="002A79FF" w:rsidRPr="001B3EA2" w:rsidRDefault="002A79FF" w:rsidP="009561DB">
      <w:pPr>
        <w:spacing w:after="0"/>
        <w:jc w:val="both"/>
        <w:rPr>
          <w:rFonts w:cs="Times New Roman"/>
          <w:color w:val="000000" w:themeColor="text1"/>
          <w:lang w:val="es-CO"/>
        </w:rPr>
      </w:pPr>
    </w:p>
    <w:p w:rsidR="000C00F7" w:rsidRPr="001B3EA2" w:rsidRDefault="002A79FF" w:rsidP="009561DB">
      <w:pPr>
        <w:spacing w:after="0"/>
        <w:jc w:val="both"/>
        <w:rPr>
          <w:rFonts w:cs="Times New Roman"/>
          <w:color w:val="000000" w:themeColor="text1"/>
          <w:lang w:val="es-CO"/>
        </w:rPr>
      </w:pPr>
      <w:r w:rsidRPr="001B3EA2">
        <w:rPr>
          <w:rFonts w:cs="Times New Roman"/>
          <w:i/>
          <w:color w:val="000000" w:themeColor="text1"/>
          <w:lang w:val="es-CO"/>
        </w:rPr>
        <w:t>Bloque prescriptivo inicial</w:t>
      </w:r>
      <w:r w:rsidR="002011D0" w:rsidRPr="001B3EA2">
        <w:rPr>
          <w:rFonts w:cs="Times New Roman"/>
          <w:i/>
          <w:color w:val="000000" w:themeColor="text1"/>
          <w:lang w:val="es-CO"/>
        </w:rPr>
        <w:t>: cómo debería ser la responsabilidad social de empresas estatales y por qué</w:t>
      </w:r>
      <w:r w:rsidR="002011D0" w:rsidRPr="001B3EA2">
        <w:rPr>
          <w:rFonts w:cs="Times New Roman"/>
          <w:color w:val="000000" w:themeColor="text1"/>
          <w:lang w:val="es-CO"/>
        </w:rPr>
        <w:t>. Respecto a este bloque, se requiere</w:t>
      </w:r>
      <w:r w:rsidRPr="001B3EA2">
        <w:rPr>
          <w:rFonts w:cs="Times New Roman"/>
          <w:color w:val="000000" w:themeColor="text1"/>
          <w:lang w:val="es-CO"/>
        </w:rPr>
        <w:t xml:space="preserve"> un análisis que permita formular posibles elementos </w:t>
      </w:r>
      <w:r w:rsidR="00D336AC" w:rsidRPr="001B3EA2">
        <w:rPr>
          <w:rFonts w:cs="Times New Roman"/>
          <w:color w:val="000000" w:themeColor="text1"/>
          <w:lang w:val="es-CO"/>
        </w:rPr>
        <w:t xml:space="preserve">normativos </w:t>
      </w:r>
      <w:r w:rsidRPr="001B3EA2">
        <w:rPr>
          <w:rFonts w:cs="Times New Roman"/>
          <w:color w:val="000000" w:themeColor="text1"/>
          <w:lang w:val="es-CO"/>
        </w:rPr>
        <w:t>comunes entre las distintas teorías éticas (deontología, utilitarismo y ética de las virtudes)</w:t>
      </w:r>
      <w:r w:rsidR="00DA6FE8" w:rsidRPr="001B3EA2">
        <w:rPr>
          <w:rFonts w:cs="Times New Roman"/>
          <w:color w:val="000000" w:themeColor="text1"/>
          <w:lang w:val="es-CO"/>
        </w:rPr>
        <w:t>,</w:t>
      </w:r>
      <w:r w:rsidR="00C72DCD" w:rsidRPr="001B3EA2">
        <w:rPr>
          <w:rFonts w:cs="Times New Roman"/>
          <w:color w:val="000000" w:themeColor="text1"/>
          <w:lang w:val="es-CO"/>
        </w:rPr>
        <w:t xml:space="preserve"> alrededor de la responsabilidad social de empresas estatales</w:t>
      </w:r>
      <w:r w:rsidR="00472BD5" w:rsidRPr="001B3EA2">
        <w:rPr>
          <w:rFonts w:cs="Times New Roman"/>
          <w:color w:val="000000" w:themeColor="text1"/>
          <w:lang w:val="es-CO"/>
        </w:rPr>
        <w:t xml:space="preserve">, en el marco </w:t>
      </w:r>
      <w:r w:rsidR="000C00F7" w:rsidRPr="001B3EA2">
        <w:rPr>
          <w:rFonts w:cs="Times New Roman"/>
          <w:color w:val="000000" w:themeColor="text1"/>
          <w:lang w:val="es-CO"/>
        </w:rPr>
        <w:t xml:space="preserve">de la </w:t>
      </w:r>
      <w:r w:rsidR="00652F30" w:rsidRPr="001B3EA2">
        <w:rPr>
          <w:rFonts w:cs="Times New Roman"/>
          <w:color w:val="000000" w:themeColor="text1"/>
          <w:lang w:val="es-CO"/>
        </w:rPr>
        <w:t xml:space="preserve">actual </w:t>
      </w:r>
      <w:r w:rsidR="000C00F7" w:rsidRPr="001B3EA2">
        <w:rPr>
          <w:rFonts w:cs="Times New Roman"/>
          <w:color w:val="000000" w:themeColor="text1"/>
          <w:lang w:val="es-CO"/>
        </w:rPr>
        <w:t xml:space="preserve">crisis </w:t>
      </w:r>
      <w:r w:rsidR="00C920AD" w:rsidRPr="001B3EA2">
        <w:rPr>
          <w:rFonts w:cs="Times New Roman"/>
          <w:color w:val="000000" w:themeColor="text1"/>
          <w:lang w:val="es-CO"/>
        </w:rPr>
        <w:t>en la relación entre</w:t>
      </w:r>
      <w:r w:rsidR="00472BD5" w:rsidRPr="001B3EA2">
        <w:rPr>
          <w:rFonts w:cs="Times New Roman"/>
          <w:color w:val="000000" w:themeColor="text1"/>
          <w:lang w:val="es-CO"/>
        </w:rPr>
        <w:t xml:space="preserve"> los</w:t>
      </w:r>
      <w:r w:rsidR="00C920AD" w:rsidRPr="001B3EA2">
        <w:rPr>
          <w:rFonts w:cs="Times New Roman"/>
          <w:color w:val="000000" w:themeColor="text1"/>
          <w:lang w:val="es-CO"/>
        </w:rPr>
        <w:t xml:space="preserve"> negocios, el Estado</w:t>
      </w:r>
      <w:r w:rsidR="00472BD5" w:rsidRPr="001B3EA2">
        <w:rPr>
          <w:rFonts w:cs="Times New Roman"/>
          <w:color w:val="000000" w:themeColor="text1"/>
          <w:lang w:val="es-CO"/>
        </w:rPr>
        <w:t xml:space="preserve"> y la sociedad civil. </w:t>
      </w:r>
      <w:r w:rsidR="002011D0" w:rsidRPr="001B3EA2">
        <w:rPr>
          <w:rFonts w:cs="Times New Roman"/>
          <w:color w:val="000000" w:themeColor="text1"/>
          <w:lang w:val="es-CO"/>
        </w:rPr>
        <w:t xml:space="preserve"> </w:t>
      </w:r>
      <w:r w:rsidR="000C00F7" w:rsidRPr="001B3EA2">
        <w:rPr>
          <w:rFonts w:cs="Times New Roman"/>
          <w:color w:val="000000" w:themeColor="text1"/>
          <w:lang w:val="es-CO"/>
        </w:rPr>
        <w:t xml:space="preserve"> </w:t>
      </w:r>
    </w:p>
    <w:p w:rsidR="00D336AC" w:rsidRPr="001B3EA2" w:rsidRDefault="000C00F7" w:rsidP="009561DB">
      <w:pPr>
        <w:spacing w:after="0"/>
        <w:jc w:val="both"/>
        <w:rPr>
          <w:rFonts w:cs="Times New Roman"/>
          <w:i/>
          <w:color w:val="000000" w:themeColor="text1"/>
          <w:lang w:val="es-CO"/>
        </w:rPr>
      </w:pPr>
      <w:r w:rsidRPr="001B3EA2">
        <w:rPr>
          <w:rFonts w:cs="Times New Roman"/>
          <w:color w:val="000000" w:themeColor="text1"/>
          <w:lang w:val="es-CO"/>
        </w:rPr>
        <w:t xml:space="preserve"> </w:t>
      </w:r>
    </w:p>
    <w:p w:rsidR="002A79FF" w:rsidRPr="001B3EA2" w:rsidRDefault="00C72DCD" w:rsidP="009561DB">
      <w:pPr>
        <w:spacing w:after="0"/>
        <w:jc w:val="both"/>
        <w:rPr>
          <w:rFonts w:cs="Times New Roman"/>
          <w:color w:val="000000" w:themeColor="text1"/>
          <w:lang w:val="es-CO"/>
        </w:rPr>
      </w:pPr>
      <w:r w:rsidRPr="001B3EA2">
        <w:rPr>
          <w:rFonts w:cs="Times New Roman"/>
          <w:i/>
          <w:color w:val="000000" w:themeColor="text1"/>
          <w:lang w:val="es-CO"/>
        </w:rPr>
        <w:t>Bloque descriptivo</w:t>
      </w:r>
      <w:r w:rsidR="00A12182" w:rsidRPr="001B3EA2">
        <w:rPr>
          <w:rFonts w:cs="Times New Roman"/>
          <w:i/>
          <w:color w:val="000000" w:themeColor="text1"/>
          <w:lang w:val="es-CO"/>
        </w:rPr>
        <w:t xml:space="preserve">: </w:t>
      </w:r>
      <w:r w:rsidRPr="001B3EA2">
        <w:rPr>
          <w:rFonts w:cs="Times New Roman"/>
          <w:i/>
          <w:color w:val="000000" w:themeColor="text1"/>
          <w:lang w:val="es-CO"/>
        </w:rPr>
        <w:t xml:space="preserve">cómo </w:t>
      </w:r>
      <w:r w:rsidR="00FC2EC2" w:rsidRPr="001B3EA2">
        <w:rPr>
          <w:rFonts w:cs="Times New Roman"/>
          <w:i/>
          <w:color w:val="000000" w:themeColor="text1"/>
          <w:lang w:val="es-CO"/>
        </w:rPr>
        <w:t>es la responsabilidad social de la empresa estatal EPM y por qué es como es</w:t>
      </w:r>
      <w:r w:rsidR="00A12182" w:rsidRPr="001B3EA2">
        <w:rPr>
          <w:rFonts w:cs="Times New Roman"/>
          <w:color w:val="000000" w:themeColor="text1"/>
          <w:lang w:val="es-CO"/>
        </w:rPr>
        <w:t xml:space="preserve">. Aquí se requiere </w:t>
      </w:r>
      <w:r w:rsidRPr="001B3EA2">
        <w:rPr>
          <w:rFonts w:cs="Times New Roman"/>
          <w:color w:val="000000" w:themeColor="text1"/>
          <w:lang w:val="es-CO"/>
        </w:rPr>
        <w:t>un estudio detallado de los factores económicos, políticos y culturales que caracterizan el contexto en el cual se toman decisiones relativas a la responsabilidad so</w:t>
      </w:r>
      <w:r w:rsidR="007E648F">
        <w:rPr>
          <w:rFonts w:cs="Times New Roman"/>
          <w:color w:val="000000" w:themeColor="text1"/>
          <w:lang w:val="es-CO"/>
        </w:rPr>
        <w:t xml:space="preserve">cial de la empresa estatal EPM como la </w:t>
      </w:r>
      <w:r w:rsidRPr="001B3EA2">
        <w:rPr>
          <w:rFonts w:cs="Times New Roman"/>
          <w:color w:val="000000" w:themeColor="text1"/>
          <w:lang w:val="es-CO"/>
        </w:rPr>
        <w:t xml:space="preserve">venta parcial de </w:t>
      </w:r>
      <w:r w:rsidR="0024254D" w:rsidRPr="001B3EA2">
        <w:rPr>
          <w:rFonts w:cs="Times New Roman"/>
          <w:color w:val="000000" w:themeColor="text1"/>
          <w:lang w:val="es-CO"/>
        </w:rPr>
        <w:t>su filial</w:t>
      </w:r>
      <w:r w:rsidRPr="001B3EA2">
        <w:rPr>
          <w:rFonts w:cs="Times New Roman"/>
          <w:color w:val="000000" w:themeColor="text1"/>
          <w:lang w:val="es-CO"/>
        </w:rPr>
        <w:t xml:space="preserve"> UNE</w:t>
      </w:r>
      <w:r w:rsidR="002866F6">
        <w:rPr>
          <w:rFonts w:cs="Times New Roman"/>
          <w:color w:val="000000" w:themeColor="text1"/>
          <w:lang w:val="es-CO"/>
        </w:rPr>
        <w:t>-Telecomunicaciones</w:t>
      </w:r>
      <w:r w:rsidRPr="001B3EA2">
        <w:rPr>
          <w:rFonts w:cs="Times New Roman"/>
          <w:color w:val="000000" w:themeColor="text1"/>
          <w:lang w:val="es-CO"/>
        </w:rPr>
        <w:t xml:space="preserve"> a la empresa privada sueca </w:t>
      </w:r>
      <w:proofErr w:type="spellStart"/>
      <w:r w:rsidRPr="001B3EA2">
        <w:rPr>
          <w:rFonts w:cs="Times New Roman"/>
          <w:color w:val="000000" w:themeColor="text1"/>
          <w:lang w:val="es-CO"/>
        </w:rPr>
        <w:t>Millicon</w:t>
      </w:r>
      <w:proofErr w:type="spellEnd"/>
      <w:r w:rsidRPr="001B3EA2">
        <w:rPr>
          <w:rFonts w:cs="Times New Roman"/>
          <w:color w:val="000000" w:themeColor="text1"/>
          <w:lang w:val="es-CO"/>
        </w:rPr>
        <w:t>. Para este análisis, las tres dimensiones empíricas formuladas por Garriga y Melé (2004)</w:t>
      </w:r>
      <w:r w:rsidR="002157BF">
        <w:rPr>
          <w:rFonts w:cs="Times New Roman"/>
          <w:color w:val="000000" w:themeColor="text1"/>
          <w:lang w:val="es-CO"/>
        </w:rPr>
        <w:t>, económicas, política</w:t>
      </w:r>
      <w:r w:rsidR="002157BF" w:rsidRPr="001B3EA2">
        <w:rPr>
          <w:rFonts w:cs="Times New Roman"/>
          <w:color w:val="000000" w:themeColor="text1"/>
          <w:lang w:val="es-CO"/>
        </w:rPr>
        <w:t>s y culturales</w:t>
      </w:r>
      <w:r w:rsidR="002157BF">
        <w:rPr>
          <w:rFonts w:cs="Times New Roman"/>
          <w:color w:val="000000" w:themeColor="text1"/>
          <w:lang w:val="es-CO"/>
        </w:rPr>
        <w:t>,</w:t>
      </w:r>
      <w:r w:rsidRPr="001B3EA2">
        <w:rPr>
          <w:rFonts w:cs="Times New Roman"/>
          <w:color w:val="000000" w:themeColor="text1"/>
          <w:lang w:val="es-CO"/>
        </w:rPr>
        <w:t xml:space="preserve"> pueden abstraerse </w:t>
      </w:r>
      <w:r w:rsidR="00A3269C" w:rsidRPr="001B3EA2">
        <w:rPr>
          <w:rFonts w:cs="Times New Roman"/>
          <w:color w:val="000000" w:themeColor="text1"/>
          <w:lang w:val="es-CO"/>
        </w:rPr>
        <w:t>junto con</w:t>
      </w:r>
      <w:r w:rsidRPr="001B3EA2">
        <w:rPr>
          <w:rFonts w:cs="Times New Roman"/>
          <w:color w:val="000000" w:themeColor="text1"/>
          <w:lang w:val="es-CO"/>
        </w:rPr>
        <w:t xml:space="preserve"> la tipología de roles estatales </w:t>
      </w:r>
      <w:r w:rsidR="00A3269C" w:rsidRPr="001B3EA2">
        <w:rPr>
          <w:rFonts w:cs="Times New Roman"/>
          <w:color w:val="000000" w:themeColor="text1"/>
          <w:lang w:val="es-CO"/>
        </w:rPr>
        <w:t>frente a la RSE de Ho (2013) y e</w:t>
      </w:r>
      <w:r w:rsidRPr="001B3EA2">
        <w:rPr>
          <w:rFonts w:cs="Times New Roman"/>
          <w:color w:val="000000" w:themeColor="text1"/>
          <w:lang w:val="es-CO"/>
        </w:rPr>
        <w:t xml:space="preserve">l modelo ajustado de la gobernanza relacional integrada propuesto por </w:t>
      </w:r>
      <w:proofErr w:type="spellStart"/>
      <w:r w:rsidRPr="001B3EA2">
        <w:rPr>
          <w:rFonts w:cs="Times New Roman"/>
          <w:color w:val="000000" w:themeColor="text1"/>
          <w:lang w:val="es-CO"/>
        </w:rPr>
        <w:t>Fairbras</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Owens</w:t>
      </w:r>
      <w:proofErr w:type="spellEnd"/>
      <w:r w:rsidRPr="001B3EA2">
        <w:rPr>
          <w:rFonts w:cs="Times New Roman"/>
          <w:color w:val="000000" w:themeColor="text1"/>
          <w:lang w:val="es-CO"/>
        </w:rPr>
        <w:t xml:space="preserve"> (2012). </w:t>
      </w:r>
    </w:p>
    <w:p w:rsidR="00C72DCD" w:rsidRPr="001B3EA2" w:rsidRDefault="00C72DCD" w:rsidP="009561DB">
      <w:pPr>
        <w:tabs>
          <w:tab w:val="left" w:pos="939"/>
        </w:tabs>
        <w:spacing w:after="0"/>
        <w:jc w:val="both"/>
        <w:rPr>
          <w:rFonts w:cs="Times New Roman"/>
          <w:color w:val="000000" w:themeColor="text1"/>
          <w:lang w:val="es-CO"/>
        </w:rPr>
      </w:pPr>
    </w:p>
    <w:p w:rsidR="00C72DCD" w:rsidRPr="001B3EA2" w:rsidRDefault="00C72DCD" w:rsidP="009561DB">
      <w:pPr>
        <w:tabs>
          <w:tab w:val="left" w:pos="939"/>
        </w:tabs>
        <w:spacing w:after="0"/>
        <w:jc w:val="both"/>
        <w:rPr>
          <w:rFonts w:cs="Times New Roman"/>
          <w:color w:val="000000" w:themeColor="text1"/>
          <w:lang w:val="es-CO"/>
        </w:rPr>
      </w:pPr>
      <w:r w:rsidRPr="001B3EA2">
        <w:rPr>
          <w:rFonts w:cs="Times New Roman"/>
          <w:i/>
          <w:color w:val="000000" w:themeColor="text1"/>
          <w:lang w:val="es-CO"/>
        </w:rPr>
        <w:t>Bloque prescriptivo final</w:t>
      </w:r>
      <w:r w:rsidR="00A7535D" w:rsidRPr="001B3EA2">
        <w:rPr>
          <w:rFonts w:cs="Times New Roman"/>
          <w:i/>
          <w:color w:val="000000" w:themeColor="text1"/>
          <w:lang w:val="es-CO"/>
        </w:rPr>
        <w:t>: cómo debe ser la responsabilidad social de EPM dentro de sus circunstancias concretas</w:t>
      </w:r>
      <w:r w:rsidR="00A7535D" w:rsidRPr="001B3EA2">
        <w:rPr>
          <w:rFonts w:cs="Times New Roman"/>
          <w:color w:val="000000" w:themeColor="text1"/>
          <w:lang w:val="es-CO"/>
        </w:rPr>
        <w:t>. Aquí se hace necesario visualizar</w:t>
      </w:r>
      <w:r w:rsidRPr="001B3EA2">
        <w:rPr>
          <w:rFonts w:cs="Times New Roman"/>
          <w:color w:val="000000" w:themeColor="text1"/>
          <w:lang w:val="es-CO"/>
        </w:rPr>
        <w:t xml:space="preserve"> </w:t>
      </w:r>
      <w:r w:rsidR="00D336AC" w:rsidRPr="001B3EA2">
        <w:rPr>
          <w:rFonts w:cs="Times New Roman"/>
          <w:color w:val="000000" w:themeColor="text1"/>
          <w:lang w:val="es-CO"/>
        </w:rPr>
        <w:t>un</w:t>
      </w:r>
      <w:r w:rsidR="00612416" w:rsidRPr="001B3EA2">
        <w:rPr>
          <w:rFonts w:cs="Times New Roman"/>
          <w:color w:val="000000" w:themeColor="text1"/>
          <w:lang w:val="es-CO"/>
        </w:rPr>
        <w:t>a estructura conceptual</w:t>
      </w:r>
      <w:r w:rsidR="00D336AC" w:rsidRPr="001B3EA2">
        <w:rPr>
          <w:rFonts w:cs="Times New Roman"/>
          <w:color w:val="000000" w:themeColor="text1"/>
          <w:lang w:val="es-CO"/>
        </w:rPr>
        <w:t xml:space="preserve"> que </w:t>
      </w:r>
      <w:r w:rsidR="00612416" w:rsidRPr="001B3EA2">
        <w:rPr>
          <w:rFonts w:cs="Times New Roman"/>
          <w:color w:val="000000" w:themeColor="text1"/>
          <w:lang w:val="es-CO"/>
        </w:rPr>
        <w:t xml:space="preserve">permita </w:t>
      </w:r>
      <w:r w:rsidR="00D336AC" w:rsidRPr="001B3EA2">
        <w:rPr>
          <w:rFonts w:cs="Times New Roman"/>
          <w:color w:val="000000" w:themeColor="text1"/>
          <w:lang w:val="es-CO"/>
        </w:rPr>
        <w:t>pr</w:t>
      </w:r>
      <w:r w:rsidR="00612416" w:rsidRPr="001B3EA2">
        <w:rPr>
          <w:rFonts w:cs="Times New Roman"/>
          <w:color w:val="000000" w:themeColor="text1"/>
          <w:lang w:val="es-CO"/>
        </w:rPr>
        <w:t>escribir y explicar</w:t>
      </w:r>
      <w:r w:rsidR="00D336AC" w:rsidRPr="001B3EA2">
        <w:rPr>
          <w:rFonts w:cs="Times New Roman"/>
          <w:color w:val="000000" w:themeColor="text1"/>
          <w:lang w:val="es-CO"/>
        </w:rPr>
        <w:t xml:space="preserve"> la responsabilidad social de empresas estatales bajo circunstancias similares a las de EPM.  </w:t>
      </w:r>
    </w:p>
    <w:p w:rsidR="002A79FF" w:rsidRPr="001B3EA2" w:rsidRDefault="002A79FF" w:rsidP="009561DB">
      <w:pPr>
        <w:spacing w:after="0"/>
        <w:rPr>
          <w:rFonts w:cs="Times New Roman"/>
          <w:color w:val="000000" w:themeColor="text1"/>
          <w:lang w:val="es-CO"/>
        </w:rPr>
      </w:pPr>
    </w:p>
    <w:p w:rsidR="00DD5F0F" w:rsidRPr="001B3EA2" w:rsidRDefault="00B14AE9" w:rsidP="009561DB">
      <w:pPr>
        <w:spacing w:after="0"/>
        <w:jc w:val="both"/>
        <w:rPr>
          <w:rFonts w:cs="Times New Roman"/>
          <w:color w:val="000000" w:themeColor="text1"/>
          <w:lang w:val="es-CO"/>
        </w:rPr>
      </w:pPr>
      <w:r w:rsidRPr="001B3EA2">
        <w:rPr>
          <w:rFonts w:cs="Times New Roman"/>
          <w:color w:val="000000" w:themeColor="text1"/>
          <w:lang w:val="es-CO"/>
        </w:rPr>
        <w:t>Las mejoras propuestas</w:t>
      </w:r>
      <w:r w:rsidR="00087A5F" w:rsidRPr="001B3EA2">
        <w:rPr>
          <w:rFonts w:cs="Times New Roman"/>
          <w:color w:val="000000" w:themeColor="text1"/>
          <w:lang w:val="es-CO"/>
        </w:rPr>
        <w:t xml:space="preserve"> en cada uno de los bloques,</w:t>
      </w:r>
      <w:r w:rsidRPr="001B3EA2">
        <w:rPr>
          <w:rFonts w:cs="Times New Roman"/>
          <w:color w:val="000000" w:themeColor="text1"/>
          <w:lang w:val="es-CO"/>
        </w:rPr>
        <w:t xml:space="preserve"> no sólo </w:t>
      </w:r>
      <w:r w:rsidR="00EC2E1A" w:rsidRPr="001B3EA2">
        <w:rPr>
          <w:rFonts w:cs="Times New Roman"/>
          <w:color w:val="000000" w:themeColor="text1"/>
          <w:lang w:val="es-CO"/>
        </w:rPr>
        <w:t xml:space="preserve">implican </w:t>
      </w:r>
      <w:r w:rsidRPr="001B3EA2">
        <w:rPr>
          <w:rFonts w:cs="Times New Roman"/>
          <w:color w:val="000000" w:themeColor="text1"/>
          <w:lang w:val="es-CO"/>
        </w:rPr>
        <w:t xml:space="preserve">un aporte en la línea de integración entre investigación normativa y empírica propuesta por </w:t>
      </w:r>
      <w:proofErr w:type="spellStart"/>
      <w:r w:rsidRPr="001B3EA2">
        <w:rPr>
          <w:rFonts w:cs="Times New Roman"/>
          <w:color w:val="000000" w:themeColor="text1"/>
          <w:lang w:val="es-CO"/>
        </w:rPr>
        <w:t>Schreck</w:t>
      </w:r>
      <w:proofErr w:type="spellEnd"/>
      <w:r w:rsidRPr="001B3EA2">
        <w:rPr>
          <w:rFonts w:cs="Times New Roman"/>
          <w:color w:val="000000" w:themeColor="text1"/>
          <w:lang w:val="es-CO"/>
        </w:rPr>
        <w:t xml:space="preserve">, van </w:t>
      </w:r>
      <w:proofErr w:type="spellStart"/>
      <w:r w:rsidRPr="001B3EA2">
        <w:rPr>
          <w:rFonts w:cs="Times New Roman"/>
          <w:color w:val="000000" w:themeColor="text1"/>
          <w:lang w:val="es-CO"/>
        </w:rPr>
        <w:t>Aaken</w:t>
      </w:r>
      <w:proofErr w:type="spellEnd"/>
      <w:r w:rsidRPr="001B3EA2">
        <w:rPr>
          <w:rFonts w:cs="Times New Roman"/>
          <w:color w:val="000000" w:themeColor="text1"/>
          <w:lang w:val="es-CO"/>
        </w:rPr>
        <w:t xml:space="preserve"> &amp; </w:t>
      </w:r>
      <w:proofErr w:type="spellStart"/>
      <w:r w:rsidRPr="001B3EA2">
        <w:rPr>
          <w:rFonts w:cs="Times New Roman"/>
          <w:color w:val="000000" w:themeColor="text1"/>
          <w:lang w:val="es-CO"/>
        </w:rPr>
        <w:t>Donaldson</w:t>
      </w:r>
      <w:proofErr w:type="spellEnd"/>
      <w:r w:rsidRPr="001B3EA2">
        <w:rPr>
          <w:rFonts w:cs="Times New Roman"/>
          <w:color w:val="000000" w:themeColor="text1"/>
          <w:lang w:val="es-CO"/>
        </w:rPr>
        <w:t xml:space="preserve"> (2013</w:t>
      </w:r>
      <w:r w:rsidR="00B53461" w:rsidRPr="001B3EA2">
        <w:rPr>
          <w:rFonts w:cs="Times New Roman"/>
          <w:color w:val="000000" w:themeColor="text1"/>
          <w:lang w:val="es-CO"/>
        </w:rPr>
        <w:t xml:space="preserve">); </w:t>
      </w:r>
      <w:r w:rsidRPr="001B3EA2">
        <w:rPr>
          <w:rFonts w:cs="Times New Roman"/>
          <w:color w:val="000000" w:themeColor="text1"/>
          <w:lang w:val="es-CO"/>
        </w:rPr>
        <w:t xml:space="preserve">también </w:t>
      </w:r>
      <w:r w:rsidR="00B53461" w:rsidRPr="001B3EA2">
        <w:rPr>
          <w:rFonts w:cs="Times New Roman"/>
          <w:color w:val="000000" w:themeColor="text1"/>
          <w:lang w:val="es-CO"/>
        </w:rPr>
        <w:t>suponen aumentar</w:t>
      </w:r>
      <w:r w:rsidRPr="001B3EA2">
        <w:rPr>
          <w:rFonts w:cs="Times New Roman"/>
          <w:color w:val="000000" w:themeColor="text1"/>
          <w:lang w:val="es-CO"/>
        </w:rPr>
        <w:t xml:space="preserve"> la capacidad </w:t>
      </w:r>
      <w:r w:rsidR="00EC2E1A" w:rsidRPr="001B3EA2">
        <w:rPr>
          <w:rFonts w:cs="Times New Roman"/>
          <w:color w:val="000000" w:themeColor="text1"/>
          <w:lang w:val="es-CO"/>
        </w:rPr>
        <w:t xml:space="preserve">explicativa </w:t>
      </w:r>
      <w:r w:rsidR="00DD5F0F" w:rsidRPr="001B3EA2">
        <w:rPr>
          <w:rFonts w:cs="Times New Roman"/>
          <w:color w:val="000000" w:themeColor="text1"/>
          <w:lang w:val="es-CO"/>
        </w:rPr>
        <w:t xml:space="preserve">de la tipología integral de Garriga y Melé (2004) y del modelo conceptual de </w:t>
      </w:r>
      <w:proofErr w:type="spellStart"/>
      <w:r w:rsidR="00DD5F0F" w:rsidRPr="001B3EA2">
        <w:rPr>
          <w:rFonts w:cs="Times New Roman"/>
          <w:color w:val="000000" w:themeColor="text1"/>
          <w:lang w:val="es-CO"/>
        </w:rPr>
        <w:t>Fairbras</w:t>
      </w:r>
      <w:proofErr w:type="spellEnd"/>
      <w:r w:rsidR="00DD5F0F" w:rsidRPr="001B3EA2">
        <w:rPr>
          <w:rFonts w:cs="Times New Roman"/>
          <w:color w:val="000000" w:themeColor="text1"/>
          <w:lang w:val="es-CO"/>
        </w:rPr>
        <w:t xml:space="preserve"> &amp; </w:t>
      </w:r>
      <w:proofErr w:type="spellStart"/>
      <w:r w:rsidR="00DD5F0F" w:rsidRPr="001B3EA2">
        <w:rPr>
          <w:rFonts w:cs="Times New Roman"/>
          <w:color w:val="000000" w:themeColor="text1"/>
          <w:lang w:val="es-CO"/>
        </w:rPr>
        <w:t>Owens</w:t>
      </w:r>
      <w:proofErr w:type="spellEnd"/>
      <w:r w:rsidR="00DD5F0F" w:rsidRPr="001B3EA2">
        <w:rPr>
          <w:rFonts w:cs="Times New Roman"/>
          <w:color w:val="000000" w:themeColor="text1"/>
          <w:lang w:val="es-CO"/>
        </w:rPr>
        <w:t xml:space="preserve"> (2012). </w:t>
      </w:r>
    </w:p>
    <w:p w:rsidR="00DD5F0F" w:rsidRPr="001B3EA2" w:rsidRDefault="00DD5F0F" w:rsidP="009561DB">
      <w:pPr>
        <w:spacing w:after="0"/>
        <w:jc w:val="both"/>
        <w:rPr>
          <w:rFonts w:cs="Times New Roman"/>
          <w:color w:val="000000" w:themeColor="text1"/>
          <w:lang w:val="es-CO"/>
        </w:rPr>
      </w:pPr>
    </w:p>
    <w:p w:rsidR="00DD5F0F" w:rsidRPr="001B3EA2" w:rsidRDefault="00DD5F0F" w:rsidP="009561DB">
      <w:pPr>
        <w:spacing w:after="0"/>
        <w:jc w:val="both"/>
        <w:rPr>
          <w:rFonts w:cs="Times New Roman"/>
          <w:color w:val="000000" w:themeColor="text1"/>
          <w:lang w:val="es-CO"/>
        </w:rPr>
      </w:pPr>
      <w:r w:rsidRPr="001B3EA2">
        <w:rPr>
          <w:rFonts w:cs="Times New Roman"/>
          <w:color w:val="000000" w:themeColor="text1"/>
          <w:lang w:val="es-CO"/>
        </w:rPr>
        <w:t>Asimismo, la aplicación de dichas mejoras aporta</w:t>
      </w:r>
      <w:r w:rsidR="00886115" w:rsidRPr="001B3EA2">
        <w:rPr>
          <w:rFonts w:cs="Times New Roman"/>
          <w:color w:val="000000" w:themeColor="text1"/>
          <w:lang w:val="es-CO"/>
        </w:rPr>
        <w:t>ría</w:t>
      </w:r>
      <w:r w:rsidRPr="001B3EA2">
        <w:rPr>
          <w:rFonts w:cs="Times New Roman"/>
          <w:color w:val="000000" w:themeColor="text1"/>
          <w:lang w:val="es-CO"/>
        </w:rPr>
        <w:t xml:space="preserve"> nuevas evidencias empíricas so</w:t>
      </w:r>
      <w:r w:rsidR="003F21AA" w:rsidRPr="001B3EA2">
        <w:rPr>
          <w:rFonts w:cs="Times New Roman"/>
          <w:color w:val="000000" w:themeColor="text1"/>
          <w:lang w:val="es-CO"/>
        </w:rPr>
        <w:t>bre el rol del Estado en la RSE. C</w:t>
      </w:r>
      <w:r w:rsidRPr="001B3EA2">
        <w:rPr>
          <w:rFonts w:cs="Times New Roman"/>
          <w:color w:val="000000" w:themeColor="text1"/>
          <w:lang w:val="es-CO"/>
        </w:rPr>
        <w:t xml:space="preserve">omo lo señala Ho (2013), la mayoría de investigaciones existentes al respecto tocan superficialmente el fenómeno dentro de países de economías emergentes como Colombia. </w:t>
      </w:r>
    </w:p>
    <w:p w:rsidR="002B3373" w:rsidRPr="001B3EA2" w:rsidRDefault="002B3373" w:rsidP="009561DB">
      <w:pPr>
        <w:spacing w:after="0"/>
        <w:rPr>
          <w:rFonts w:cs="Times New Roman"/>
          <w:b/>
          <w:color w:val="000000" w:themeColor="text1"/>
          <w:lang w:val="es-CO"/>
        </w:rPr>
      </w:pPr>
    </w:p>
    <w:p w:rsidR="00C63E2C" w:rsidRDefault="004F151F" w:rsidP="009561DB">
      <w:pPr>
        <w:spacing w:after="0"/>
        <w:jc w:val="both"/>
        <w:rPr>
          <w:rFonts w:cs="Times New Roman"/>
          <w:color w:val="000000" w:themeColor="text1"/>
          <w:lang w:val="es-CO"/>
        </w:rPr>
      </w:pPr>
      <w:r w:rsidRPr="001B3EA2">
        <w:rPr>
          <w:rFonts w:cs="Times New Roman"/>
          <w:color w:val="000000" w:themeColor="text1"/>
          <w:lang w:val="es-CO"/>
        </w:rPr>
        <w:lastRenderedPageBreak/>
        <w:t>La estructura conceptual propuesta también supone considerar la responsabilidad social organizacional (no meramente empresarial) como eje transversal del análisis, en tanto las decisiones de una empresa estatal como EPM, recaen finalmente en una organización cuya naturaleza no es empresarial, como lo es el Concejo Municipal de Medellín. En este sent</w:t>
      </w:r>
      <w:r w:rsidR="002B7EEB" w:rsidRPr="001B3EA2">
        <w:rPr>
          <w:rFonts w:cs="Times New Roman"/>
          <w:color w:val="000000" w:themeColor="text1"/>
          <w:lang w:val="es-CO"/>
        </w:rPr>
        <w:t>ido, la investigación se</w:t>
      </w:r>
      <w:r w:rsidRPr="001B3EA2">
        <w:rPr>
          <w:rFonts w:cs="Times New Roman"/>
          <w:color w:val="000000" w:themeColor="text1"/>
          <w:lang w:val="es-CO"/>
        </w:rPr>
        <w:t xml:space="preserve"> apoya</w:t>
      </w:r>
      <w:r w:rsidR="002B7EEB" w:rsidRPr="001B3EA2">
        <w:rPr>
          <w:rFonts w:cs="Times New Roman"/>
          <w:color w:val="000000" w:themeColor="text1"/>
          <w:lang w:val="es-CO"/>
        </w:rPr>
        <w:t>ría en y aportaría al</w:t>
      </w:r>
      <w:r w:rsidRPr="001B3EA2">
        <w:rPr>
          <w:rFonts w:cs="Times New Roman"/>
          <w:color w:val="000000" w:themeColor="text1"/>
          <w:lang w:val="es-CO"/>
        </w:rPr>
        <w:t xml:space="preserve"> reciente campo de los estudios organizacionales. Partiendo de la diferenciación entre empresa y organización, estos estudios proponen un análisis de la gestión organizacional que trascienda la tradición teórica ligada a Taylor y Fayol, cuyo eje de análisis de las decisiones administrativas se limita a la búsqueda de la productividad, dejando de lado otros factores propios de organizaciones de carácter político, tales como la equidad </w:t>
      </w:r>
      <w:r w:rsidR="002B7EEB" w:rsidRPr="001B3EA2">
        <w:rPr>
          <w:rFonts w:cs="Times New Roman"/>
          <w:color w:val="000000" w:themeColor="text1"/>
          <w:lang w:val="es-CO"/>
        </w:rPr>
        <w:t>y la felicidad</w:t>
      </w:r>
      <w:r w:rsidRPr="001B3EA2">
        <w:rPr>
          <w:rFonts w:cs="Times New Roman"/>
          <w:color w:val="000000" w:themeColor="text1"/>
          <w:lang w:val="es-CO"/>
        </w:rPr>
        <w:t xml:space="preserve"> </w:t>
      </w:r>
      <w:r w:rsidR="006E3E4C" w:rsidRPr="001B3EA2">
        <w:rPr>
          <w:rFonts w:cs="Times New Roman"/>
          <w:color w:val="000000" w:themeColor="text1"/>
          <w:lang w:val="es-CO"/>
        </w:rPr>
        <w:t>(Ramírez, Vargas &amp; De la Rosa, 2011; Morales, 2012).</w:t>
      </w:r>
    </w:p>
    <w:p w:rsidR="00191E60" w:rsidRPr="001B3EA2" w:rsidRDefault="006E3E4C" w:rsidP="009561DB">
      <w:pPr>
        <w:spacing w:after="0"/>
        <w:jc w:val="both"/>
        <w:rPr>
          <w:rFonts w:cs="Times New Roman"/>
          <w:color w:val="000000" w:themeColor="text1"/>
          <w:lang w:val="es-CO"/>
        </w:rPr>
      </w:pPr>
      <w:r w:rsidRPr="001B3EA2">
        <w:rPr>
          <w:rFonts w:cs="Times New Roman"/>
          <w:color w:val="000000" w:themeColor="text1"/>
          <w:lang w:val="es-CO"/>
        </w:rPr>
        <w:t xml:space="preserve"> </w:t>
      </w:r>
    </w:p>
    <w:p w:rsidR="00D425C9" w:rsidRPr="001B3EA2" w:rsidRDefault="00D425C9" w:rsidP="009561DB">
      <w:pPr>
        <w:spacing w:after="0"/>
        <w:jc w:val="center"/>
        <w:rPr>
          <w:rFonts w:cs="Times New Roman"/>
          <w:b/>
          <w:color w:val="000000" w:themeColor="text1"/>
          <w:lang w:val="es-CO"/>
        </w:rPr>
      </w:pPr>
      <w:r w:rsidRPr="001B3EA2">
        <w:rPr>
          <w:rFonts w:cs="Times New Roman"/>
          <w:b/>
          <w:color w:val="000000" w:themeColor="text1"/>
          <w:lang w:val="es-CO"/>
        </w:rPr>
        <w:t>Objetivo general</w:t>
      </w:r>
    </w:p>
    <w:p w:rsidR="00D425C9" w:rsidRPr="001B3EA2" w:rsidRDefault="00D425C9" w:rsidP="009561DB">
      <w:pPr>
        <w:spacing w:after="0"/>
        <w:jc w:val="both"/>
        <w:rPr>
          <w:rFonts w:cs="Times New Roman"/>
          <w:color w:val="000000" w:themeColor="text1"/>
          <w:lang w:val="es-CO"/>
        </w:rPr>
      </w:pPr>
      <w:r w:rsidRPr="001B3EA2">
        <w:rPr>
          <w:rFonts w:cs="Times New Roman"/>
          <w:color w:val="000000" w:themeColor="text1"/>
          <w:lang w:val="es-CO"/>
        </w:rPr>
        <w:t xml:space="preserve">Formular una estructura conceptual que permita prescribir y explicar integralmente la responsabilidad social de empresas estatales, a partir del estudio del caso de Empresas Públicas de Medellín.  </w:t>
      </w:r>
    </w:p>
    <w:p w:rsidR="00D425C9" w:rsidRPr="001B3EA2" w:rsidRDefault="00D425C9" w:rsidP="009561DB">
      <w:pPr>
        <w:spacing w:after="0"/>
        <w:jc w:val="center"/>
        <w:rPr>
          <w:rFonts w:cs="Times New Roman"/>
          <w:b/>
          <w:color w:val="000000" w:themeColor="text1"/>
          <w:lang w:val="es-CO"/>
        </w:rPr>
      </w:pPr>
    </w:p>
    <w:p w:rsidR="00D425C9" w:rsidRPr="001B3EA2" w:rsidRDefault="00D425C9" w:rsidP="009561DB">
      <w:pPr>
        <w:spacing w:after="0"/>
        <w:jc w:val="center"/>
        <w:rPr>
          <w:rFonts w:cs="Times New Roman"/>
          <w:b/>
          <w:color w:val="000000" w:themeColor="text1"/>
          <w:lang w:val="es-CO"/>
        </w:rPr>
      </w:pPr>
      <w:r w:rsidRPr="001B3EA2">
        <w:rPr>
          <w:rFonts w:cs="Times New Roman"/>
          <w:b/>
          <w:color w:val="000000" w:themeColor="text1"/>
          <w:lang w:val="es-CO"/>
        </w:rPr>
        <w:t>Objetivos específicos</w:t>
      </w:r>
    </w:p>
    <w:p w:rsidR="00D425C9" w:rsidRPr="001B3EA2" w:rsidRDefault="00D425C9" w:rsidP="009561DB">
      <w:pPr>
        <w:pStyle w:val="Prrafodelista"/>
        <w:numPr>
          <w:ilvl w:val="0"/>
          <w:numId w:val="18"/>
        </w:numPr>
        <w:spacing w:after="0"/>
        <w:jc w:val="both"/>
        <w:rPr>
          <w:rFonts w:cs="Times New Roman"/>
          <w:color w:val="000000" w:themeColor="text1"/>
          <w:lang w:val="es-CO"/>
        </w:rPr>
      </w:pPr>
      <w:r w:rsidRPr="001B3EA2">
        <w:rPr>
          <w:rFonts w:cs="Times New Roman"/>
          <w:color w:val="000000" w:themeColor="text1"/>
          <w:lang w:val="es-CO"/>
        </w:rPr>
        <w:t xml:space="preserve">Identificar elementos comunes entre las distintas teorías éticas (deontología, utilitarismo y ética de las virtudes), que permitan prescribir la responsabilidad social de empresas estatales en el marco de la actual crisis en la relación entre los negocios, el Estado y la sociedad civil.   </w:t>
      </w:r>
    </w:p>
    <w:p w:rsidR="00D425C9" w:rsidRPr="001B3EA2" w:rsidRDefault="00D425C9" w:rsidP="009561DB">
      <w:pPr>
        <w:pStyle w:val="Prrafodelista"/>
        <w:numPr>
          <w:ilvl w:val="0"/>
          <w:numId w:val="3"/>
        </w:numPr>
        <w:spacing w:after="0"/>
        <w:jc w:val="both"/>
        <w:rPr>
          <w:rFonts w:cs="Times New Roman"/>
          <w:color w:val="000000" w:themeColor="text1"/>
          <w:lang w:val="es-CO"/>
        </w:rPr>
      </w:pPr>
      <w:r w:rsidRPr="001B3EA2">
        <w:rPr>
          <w:rFonts w:cs="Times New Roman"/>
          <w:color w:val="000000" w:themeColor="text1"/>
          <w:lang w:val="es-CO"/>
        </w:rPr>
        <w:t>Explicar las condiciones económicas, políticas y culturales en el marco de las cuales</w:t>
      </w:r>
      <w:r w:rsidR="009F60E5">
        <w:rPr>
          <w:rFonts w:cs="Times New Roman"/>
          <w:color w:val="000000" w:themeColor="text1"/>
          <w:lang w:val="es-CO"/>
        </w:rPr>
        <w:t xml:space="preserve"> el Concejo de Medellín tomó la decisión</w:t>
      </w:r>
      <w:r w:rsidRPr="001B3EA2">
        <w:rPr>
          <w:rFonts w:cs="Times New Roman"/>
          <w:color w:val="000000" w:themeColor="text1"/>
          <w:lang w:val="es-CO"/>
        </w:rPr>
        <w:t xml:space="preserve"> de vender parcialmente la filial</w:t>
      </w:r>
      <w:r w:rsidR="009F60E5">
        <w:rPr>
          <w:rFonts w:cs="Times New Roman"/>
          <w:color w:val="000000" w:themeColor="text1"/>
          <w:lang w:val="es-CO"/>
        </w:rPr>
        <w:t xml:space="preserve"> de EPM</w:t>
      </w:r>
      <w:r w:rsidRPr="001B3EA2">
        <w:rPr>
          <w:rFonts w:cs="Times New Roman"/>
          <w:color w:val="000000" w:themeColor="text1"/>
          <w:lang w:val="es-CO"/>
        </w:rPr>
        <w:t xml:space="preserve"> UNE</w:t>
      </w:r>
      <w:r w:rsidR="009F60E5">
        <w:rPr>
          <w:rFonts w:cs="Times New Roman"/>
          <w:color w:val="000000" w:themeColor="text1"/>
          <w:lang w:val="es-CO"/>
        </w:rPr>
        <w:t>-Telecomunicaciones</w:t>
      </w:r>
      <w:r w:rsidRPr="001B3EA2">
        <w:rPr>
          <w:rFonts w:cs="Times New Roman"/>
          <w:color w:val="000000" w:themeColor="text1"/>
          <w:lang w:val="es-CO"/>
        </w:rPr>
        <w:t xml:space="preserve">.  </w:t>
      </w:r>
    </w:p>
    <w:p w:rsidR="00D425C9" w:rsidRPr="001B3EA2" w:rsidRDefault="00D425C9" w:rsidP="009561DB">
      <w:pPr>
        <w:pStyle w:val="Prrafodelista"/>
        <w:numPr>
          <w:ilvl w:val="0"/>
          <w:numId w:val="3"/>
        </w:numPr>
        <w:spacing w:after="0"/>
        <w:jc w:val="both"/>
        <w:rPr>
          <w:rFonts w:cs="Times New Roman"/>
          <w:color w:val="000000" w:themeColor="text1"/>
          <w:lang w:val="es-CO"/>
        </w:rPr>
      </w:pPr>
      <w:r w:rsidRPr="001B3EA2">
        <w:rPr>
          <w:rFonts w:cs="Times New Roman"/>
          <w:color w:val="000000" w:themeColor="text1"/>
          <w:lang w:val="es-CO"/>
        </w:rPr>
        <w:t xml:space="preserve">Visualizar una estructura conceptual que permita prescribir y explicar la responsabilidad social de empresas estatales bajo circunstancias similares a las de EPM.  </w:t>
      </w:r>
    </w:p>
    <w:p w:rsidR="00D425C9" w:rsidRDefault="00D425C9" w:rsidP="009561DB">
      <w:pPr>
        <w:spacing w:after="0"/>
        <w:jc w:val="center"/>
        <w:rPr>
          <w:rFonts w:cs="Times New Roman"/>
          <w:b/>
          <w:color w:val="000000" w:themeColor="text1"/>
          <w:lang w:val="es-CO"/>
        </w:rPr>
      </w:pPr>
    </w:p>
    <w:p w:rsidR="00FD2522" w:rsidRPr="001B3EA2" w:rsidRDefault="00D64F51" w:rsidP="009561DB">
      <w:pPr>
        <w:spacing w:after="0"/>
        <w:jc w:val="center"/>
        <w:rPr>
          <w:rFonts w:cs="Times New Roman"/>
          <w:color w:val="000000" w:themeColor="text1"/>
          <w:lang w:val="es-CO"/>
        </w:rPr>
      </w:pPr>
      <w:r>
        <w:rPr>
          <w:rFonts w:cs="Times New Roman"/>
          <w:b/>
          <w:color w:val="000000" w:themeColor="text1"/>
          <w:lang w:val="es-CO"/>
        </w:rPr>
        <w:t>Metodología</w:t>
      </w:r>
    </w:p>
    <w:p w:rsidR="009B4854" w:rsidRPr="001B3EA2" w:rsidRDefault="004F151F" w:rsidP="009561DB">
      <w:pPr>
        <w:spacing w:after="0"/>
        <w:jc w:val="both"/>
        <w:rPr>
          <w:rFonts w:cs="Times New Roman"/>
          <w:color w:val="000000" w:themeColor="text1"/>
          <w:lang w:val="es-CO"/>
        </w:rPr>
      </w:pPr>
      <w:r w:rsidRPr="001B3EA2">
        <w:rPr>
          <w:rFonts w:cs="Times New Roman"/>
          <w:color w:val="000000" w:themeColor="text1"/>
          <w:lang w:val="es-CO"/>
        </w:rPr>
        <w:t xml:space="preserve">La complejidad de la estructura conceptual </w:t>
      </w:r>
      <w:r w:rsidR="00165B8C" w:rsidRPr="001B3EA2">
        <w:rPr>
          <w:rFonts w:cs="Times New Roman"/>
          <w:color w:val="000000" w:themeColor="text1"/>
          <w:lang w:val="es-CO"/>
        </w:rPr>
        <w:t>presentada como antesala del análisis del caso de</w:t>
      </w:r>
      <w:r w:rsidRPr="001B3EA2">
        <w:rPr>
          <w:rFonts w:cs="Times New Roman"/>
          <w:color w:val="000000" w:themeColor="text1"/>
          <w:lang w:val="es-CO"/>
        </w:rPr>
        <w:t xml:space="preserve"> EPM, exige un diseño metodológico adecuado para el abordaje de múltiples factores asociados a un fenómeno social específico. </w:t>
      </w:r>
      <w:r w:rsidR="00BA1F5B" w:rsidRPr="001B3EA2">
        <w:rPr>
          <w:rFonts w:cs="Times New Roman"/>
          <w:color w:val="000000" w:themeColor="text1"/>
          <w:lang w:val="es-ES"/>
        </w:rPr>
        <w:t>Por diseño metodológico se entiende no sólo la definición de un método, unas técnicas, una poblaci</w:t>
      </w:r>
      <w:r w:rsidR="00F6492D" w:rsidRPr="001B3EA2">
        <w:rPr>
          <w:rFonts w:cs="Times New Roman"/>
          <w:color w:val="000000" w:themeColor="text1"/>
          <w:lang w:val="es-ES"/>
        </w:rPr>
        <w:t xml:space="preserve">ón, </w:t>
      </w:r>
      <w:r w:rsidR="00BA1F5B" w:rsidRPr="001B3EA2">
        <w:rPr>
          <w:rFonts w:cs="Times New Roman"/>
          <w:color w:val="000000" w:themeColor="text1"/>
          <w:lang w:val="es-ES"/>
        </w:rPr>
        <w:t xml:space="preserve">una muestra </w:t>
      </w:r>
      <w:r w:rsidR="00F6492D" w:rsidRPr="001B3EA2">
        <w:rPr>
          <w:rFonts w:cs="Times New Roman"/>
          <w:color w:val="000000" w:themeColor="text1"/>
          <w:lang w:val="es-ES"/>
        </w:rPr>
        <w:t xml:space="preserve">y unos procedimientos </w:t>
      </w:r>
      <w:r w:rsidR="00BA1F5B" w:rsidRPr="001B3EA2">
        <w:rPr>
          <w:rFonts w:cs="Times New Roman"/>
          <w:color w:val="000000" w:themeColor="text1"/>
          <w:lang w:val="es-ES"/>
        </w:rPr>
        <w:t xml:space="preserve">de investigación, sino </w:t>
      </w:r>
      <w:r w:rsidR="00E115CD" w:rsidRPr="001B3EA2">
        <w:rPr>
          <w:rFonts w:cs="Times New Roman"/>
          <w:color w:val="000000" w:themeColor="text1"/>
          <w:lang w:val="es-ES"/>
        </w:rPr>
        <w:t>ante todo de una</w:t>
      </w:r>
      <w:r w:rsidR="00BA1F5B" w:rsidRPr="001B3EA2">
        <w:rPr>
          <w:rFonts w:cs="Times New Roman"/>
          <w:color w:val="000000" w:themeColor="text1"/>
          <w:lang w:val="es-ES"/>
        </w:rPr>
        <w:t xml:space="preserve"> lógica de relacionamiento entre “datos” y “teoría”</w:t>
      </w:r>
      <w:r w:rsidR="001437A4" w:rsidRPr="001B3EA2">
        <w:rPr>
          <w:rFonts w:cs="Times New Roman"/>
          <w:color w:val="000000" w:themeColor="text1"/>
          <w:lang w:val="es-ES"/>
        </w:rPr>
        <w:t>,</w:t>
      </w:r>
      <w:r w:rsidR="00BA1F5B" w:rsidRPr="001B3EA2">
        <w:rPr>
          <w:rFonts w:cs="Times New Roman"/>
          <w:color w:val="000000" w:themeColor="text1"/>
          <w:lang w:val="es-ES"/>
        </w:rPr>
        <w:t xml:space="preserve"> que conducirá a los “resultados” del estudio. Esa lógica varía según </w:t>
      </w:r>
      <w:r w:rsidR="00F6492D" w:rsidRPr="001B3EA2">
        <w:rPr>
          <w:rFonts w:cs="Times New Roman"/>
          <w:color w:val="000000" w:themeColor="text1"/>
          <w:lang w:val="es-ES"/>
        </w:rPr>
        <w:t>los diferentes</w:t>
      </w:r>
      <w:r w:rsidR="00BA1F5B" w:rsidRPr="001B3EA2">
        <w:rPr>
          <w:rFonts w:cs="Times New Roman"/>
          <w:color w:val="000000" w:themeColor="text1"/>
          <w:lang w:val="es-ES"/>
        </w:rPr>
        <w:t xml:space="preserve"> paradigmas de investigación social</w:t>
      </w:r>
      <w:r w:rsidR="00F6492D" w:rsidRPr="001B3EA2">
        <w:rPr>
          <w:rFonts w:cs="Times New Roman"/>
          <w:color w:val="000000" w:themeColor="text1"/>
          <w:lang w:val="es-ES"/>
        </w:rPr>
        <w:t>. C</w:t>
      </w:r>
      <w:r w:rsidR="00BA1F5B" w:rsidRPr="001B3EA2">
        <w:rPr>
          <w:rFonts w:cs="Times New Roman"/>
          <w:color w:val="000000" w:themeColor="text1"/>
          <w:lang w:val="es-ES"/>
        </w:rPr>
        <w:t>ada uno de ellos con</w:t>
      </w:r>
      <w:r w:rsidR="00F6492D" w:rsidRPr="001B3EA2">
        <w:rPr>
          <w:rFonts w:cs="Times New Roman"/>
          <w:color w:val="000000" w:themeColor="text1"/>
          <w:lang w:val="es-ES"/>
        </w:rPr>
        <w:t>cibe de manera distinta</w:t>
      </w:r>
      <w:r w:rsidR="00BA1F5B" w:rsidRPr="001B3EA2">
        <w:rPr>
          <w:rFonts w:cs="Times New Roman"/>
          <w:color w:val="000000" w:themeColor="text1"/>
          <w:lang w:val="es-ES"/>
        </w:rPr>
        <w:t xml:space="preserve"> </w:t>
      </w:r>
      <w:r w:rsidRPr="001B3EA2">
        <w:rPr>
          <w:rFonts w:cs="Times New Roman"/>
          <w:color w:val="000000" w:themeColor="text1"/>
          <w:lang w:val="es-ES"/>
        </w:rPr>
        <w:t>–</w:t>
      </w:r>
      <w:r w:rsidR="00F6492D" w:rsidRPr="001B3EA2">
        <w:rPr>
          <w:rFonts w:cs="Times New Roman"/>
          <w:color w:val="000000" w:themeColor="text1"/>
          <w:lang w:val="es-ES"/>
        </w:rPr>
        <w:t>y</w:t>
      </w:r>
      <w:r w:rsidR="00BA1F5B" w:rsidRPr="001B3EA2">
        <w:rPr>
          <w:rFonts w:cs="Times New Roman"/>
          <w:color w:val="000000" w:themeColor="text1"/>
          <w:lang w:val="es-ES"/>
        </w:rPr>
        <w:t xml:space="preserve"> a veces </w:t>
      </w:r>
      <w:r w:rsidRPr="001B3EA2">
        <w:rPr>
          <w:rFonts w:cs="Times New Roman"/>
          <w:color w:val="000000" w:themeColor="text1"/>
          <w:lang w:val="es-ES"/>
        </w:rPr>
        <w:t>opuesta-</w:t>
      </w:r>
      <w:r w:rsidR="00BA1F5B" w:rsidRPr="001B3EA2">
        <w:rPr>
          <w:rFonts w:cs="Times New Roman"/>
          <w:color w:val="000000" w:themeColor="text1"/>
          <w:lang w:val="es-ES"/>
        </w:rPr>
        <w:t xml:space="preserve"> la relación entre sujeto y objeto de investigación</w:t>
      </w:r>
      <w:r w:rsidR="001437A4" w:rsidRPr="001B3EA2">
        <w:rPr>
          <w:rFonts w:cs="Times New Roman"/>
          <w:color w:val="000000" w:themeColor="text1"/>
          <w:lang w:val="es-ES"/>
        </w:rPr>
        <w:t xml:space="preserve"> (</w:t>
      </w:r>
      <w:proofErr w:type="spellStart"/>
      <w:r w:rsidR="001437A4" w:rsidRPr="001B3EA2">
        <w:rPr>
          <w:rFonts w:cs="Times New Roman"/>
          <w:color w:val="000000" w:themeColor="text1"/>
          <w:lang w:val="es-ES"/>
        </w:rPr>
        <w:t>May</w:t>
      </w:r>
      <w:proofErr w:type="spellEnd"/>
      <w:r w:rsidR="001437A4" w:rsidRPr="001B3EA2">
        <w:rPr>
          <w:rFonts w:cs="Times New Roman"/>
          <w:color w:val="000000" w:themeColor="text1"/>
          <w:lang w:val="es-ES"/>
        </w:rPr>
        <w:t>, 2011)</w:t>
      </w:r>
      <w:r w:rsidR="00BA1F5B" w:rsidRPr="001B3EA2">
        <w:rPr>
          <w:rFonts w:cs="Times New Roman"/>
          <w:color w:val="000000" w:themeColor="text1"/>
          <w:lang w:val="es-ES"/>
        </w:rPr>
        <w:t xml:space="preserve">. </w:t>
      </w:r>
    </w:p>
    <w:p w:rsidR="00F6492D" w:rsidRPr="001B3EA2" w:rsidRDefault="00F6492D" w:rsidP="009561DB">
      <w:pPr>
        <w:spacing w:after="0"/>
        <w:jc w:val="both"/>
        <w:rPr>
          <w:rFonts w:cs="Times New Roman"/>
          <w:color w:val="000000" w:themeColor="text1"/>
          <w:lang w:val="es-ES"/>
        </w:rPr>
      </w:pPr>
    </w:p>
    <w:p w:rsidR="00F6492D" w:rsidRPr="001B3EA2" w:rsidRDefault="00F6492D" w:rsidP="009561DB">
      <w:pPr>
        <w:spacing w:after="0"/>
        <w:jc w:val="both"/>
        <w:rPr>
          <w:rFonts w:cs="Times New Roman"/>
          <w:color w:val="000000" w:themeColor="text1"/>
          <w:lang w:val="es-ES"/>
        </w:rPr>
      </w:pPr>
      <w:r w:rsidRPr="001B3EA2">
        <w:rPr>
          <w:rFonts w:cs="Times New Roman"/>
          <w:color w:val="000000" w:themeColor="text1"/>
          <w:lang w:val="es-ES"/>
        </w:rPr>
        <w:t>Desde el positivismo y el empirismo</w:t>
      </w:r>
      <w:r w:rsidR="00A97CC1" w:rsidRPr="001B3EA2">
        <w:rPr>
          <w:rFonts w:cs="Times New Roman"/>
          <w:color w:val="000000" w:themeColor="text1"/>
          <w:lang w:val="es-ES"/>
        </w:rPr>
        <w:t>,</w:t>
      </w:r>
      <w:r w:rsidRPr="001B3EA2">
        <w:rPr>
          <w:rFonts w:cs="Times New Roman"/>
          <w:color w:val="000000" w:themeColor="text1"/>
          <w:lang w:val="es-ES"/>
        </w:rPr>
        <w:t xml:space="preserve"> se supone que la realidad social es “externa” al investigador, independiente de </w:t>
      </w:r>
      <w:r w:rsidR="004F151F" w:rsidRPr="001B3EA2">
        <w:rPr>
          <w:rFonts w:cs="Times New Roman"/>
          <w:color w:val="000000" w:themeColor="text1"/>
          <w:lang w:val="es-ES"/>
        </w:rPr>
        <w:t>su propia subjetividad, y que el</w:t>
      </w:r>
      <w:r w:rsidRPr="001B3EA2">
        <w:rPr>
          <w:rFonts w:cs="Times New Roman"/>
          <w:color w:val="000000" w:themeColor="text1"/>
          <w:lang w:val="es-ES"/>
        </w:rPr>
        <w:t xml:space="preserve"> conocimiento científico radica en el análisis objetivo de los fenómenos</w:t>
      </w:r>
      <w:r w:rsidR="004F151F" w:rsidRPr="001B3EA2">
        <w:rPr>
          <w:rFonts w:cs="Times New Roman"/>
          <w:color w:val="000000" w:themeColor="text1"/>
          <w:lang w:val="es-ES"/>
        </w:rPr>
        <w:t xml:space="preserve"> sociales,</w:t>
      </w:r>
      <w:r w:rsidRPr="001B3EA2">
        <w:rPr>
          <w:rFonts w:cs="Times New Roman"/>
          <w:color w:val="000000" w:themeColor="text1"/>
          <w:lang w:val="es-ES"/>
        </w:rPr>
        <w:t xml:space="preserve"> a través de técnicas estandarizadas de medición que permitan identificar leyes y predicciones generales, ya sea de forma deductiva (posit</w:t>
      </w:r>
      <w:r w:rsidR="00A97CC1" w:rsidRPr="001B3EA2">
        <w:rPr>
          <w:rFonts w:cs="Times New Roman"/>
          <w:color w:val="000000" w:themeColor="text1"/>
          <w:lang w:val="es-ES"/>
        </w:rPr>
        <w:t>ivismo) o inductiva (empirismo) (</w:t>
      </w:r>
      <w:proofErr w:type="spellStart"/>
      <w:r w:rsidR="00A97CC1" w:rsidRPr="001B3EA2">
        <w:rPr>
          <w:rFonts w:cs="Times New Roman"/>
          <w:color w:val="000000" w:themeColor="text1"/>
          <w:lang w:val="es-ES"/>
        </w:rPr>
        <w:t>May</w:t>
      </w:r>
      <w:proofErr w:type="spellEnd"/>
      <w:r w:rsidR="00A97CC1" w:rsidRPr="001B3EA2">
        <w:rPr>
          <w:rFonts w:cs="Times New Roman"/>
          <w:color w:val="000000" w:themeColor="text1"/>
          <w:lang w:val="es-ES"/>
        </w:rPr>
        <w:t>, 2011).</w:t>
      </w:r>
      <w:r w:rsidRPr="001B3EA2">
        <w:rPr>
          <w:rFonts w:cs="Times New Roman"/>
          <w:color w:val="000000" w:themeColor="text1"/>
          <w:lang w:val="es-ES"/>
        </w:rPr>
        <w:t xml:space="preserve"> </w:t>
      </w:r>
    </w:p>
    <w:p w:rsidR="00F6492D" w:rsidRPr="001B3EA2" w:rsidRDefault="00F6492D" w:rsidP="009561DB">
      <w:pPr>
        <w:spacing w:after="0"/>
        <w:jc w:val="both"/>
        <w:rPr>
          <w:rFonts w:cs="Times New Roman"/>
          <w:color w:val="000000" w:themeColor="text1"/>
          <w:lang w:val="es-ES"/>
        </w:rPr>
      </w:pPr>
    </w:p>
    <w:p w:rsidR="00F6492D" w:rsidRPr="001B3EA2" w:rsidRDefault="00F6492D" w:rsidP="009561DB">
      <w:pPr>
        <w:spacing w:after="0"/>
        <w:jc w:val="both"/>
        <w:rPr>
          <w:rFonts w:cs="Times New Roman"/>
          <w:color w:val="000000" w:themeColor="text1"/>
          <w:lang w:val="es-ES"/>
        </w:rPr>
      </w:pPr>
      <w:r w:rsidRPr="001B3EA2">
        <w:rPr>
          <w:rFonts w:cs="Times New Roman"/>
          <w:color w:val="000000" w:themeColor="text1"/>
          <w:lang w:val="es-ES"/>
        </w:rPr>
        <w:lastRenderedPageBreak/>
        <w:t>Por su parte, la perspectiva idealista considera el mundo social como producto de la esfera de las ideas. Así, las acciones no son gobernadas por leyes de causa y efecto, sino por las normas que usamos para interpretar el mundo. Desde esta mirada, el investigador, con sus propios sentidos, es un medio ineludible de acceso al mundo social</w:t>
      </w:r>
      <w:r w:rsidR="00E115CD" w:rsidRPr="001B3EA2">
        <w:rPr>
          <w:rFonts w:cs="Times New Roman"/>
          <w:color w:val="000000" w:themeColor="text1"/>
          <w:lang w:val="es-ES"/>
        </w:rPr>
        <w:t xml:space="preserve"> (</w:t>
      </w:r>
      <w:proofErr w:type="spellStart"/>
      <w:r w:rsidR="00E115CD" w:rsidRPr="001B3EA2">
        <w:rPr>
          <w:rFonts w:cs="Times New Roman"/>
          <w:color w:val="000000" w:themeColor="text1"/>
          <w:lang w:val="es-ES"/>
        </w:rPr>
        <w:t>May</w:t>
      </w:r>
      <w:proofErr w:type="spellEnd"/>
      <w:r w:rsidR="00A97CC1" w:rsidRPr="001B3EA2">
        <w:rPr>
          <w:rFonts w:cs="Times New Roman"/>
          <w:color w:val="000000" w:themeColor="text1"/>
          <w:lang w:val="es-ES"/>
        </w:rPr>
        <w:t>, 2011</w:t>
      </w:r>
      <w:r w:rsidR="00E115CD" w:rsidRPr="001B3EA2">
        <w:rPr>
          <w:rFonts w:cs="Times New Roman"/>
          <w:color w:val="000000" w:themeColor="text1"/>
          <w:lang w:val="es-ES"/>
        </w:rPr>
        <w:t>)</w:t>
      </w:r>
      <w:r w:rsidRPr="001B3EA2">
        <w:rPr>
          <w:rFonts w:cs="Times New Roman"/>
          <w:color w:val="000000" w:themeColor="text1"/>
          <w:lang w:val="es-ES"/>
        </w:rPr>
        <w:t xml:space="preserve">. </w:t>
      </w:r>
    </w:p>
    <w:p w:rsidR="00BA1F5B" w:rsidRPr="001B3EA2" w:rsidRDefault="00BA1F5B" w:rsidP="009561DB">
      <w:pPr>
        <w:spacing w:after="0"/>
        <w:jc w:val="both"/>
        <w:rPr>
          <w:rFonts w:cs="Times New Roman"/>
          <w:color w:val="000000" w:themeColor="text1"/>
          <w:lang w:val="es-ES"/>
        </w:rPr>
      </w:pPr>
    </w:p>
    <w:p w:rsidR="00BA1F5B" w:rsidRPr="001B3EA2" w:rsidRDefault="00F6492D" w:rsidP="009561DB">
      <w:pPr>
        <w:spacing w:after="0"/>
        <w:jc w:val="both"/>
        <w:rPr>
          <w:rFonts w:cs="Times New Roman"/>
          <w:color w:val="000000" w:themeColor="text1"/>
          <w:lang w:val="es-ES"/>
        </w:rPr>
      </w:pPr>
      <w:r w:rsidRPr="001B3EA2">
        <w:rPr>
          <w:rFonts w:cs="Times New Roman"/>
          <w:color w:val="000000" w:themeColor="text1"/>
          <w:lang w:val="es-ES"/>
        </w:rPr>
        <w:t>Aunque tiende a suponerse que las investigaciones de tipo explicativo,</w:t>
      </w:r>
      <w:r w:rsidR="00E115CD" w:rsidRPr="001B3EA2">
        <w:rPr>
          <w:rFonts w:cs="Times New Roman"/>
          <w:color w:val="000000" w:themeColor="text1"/>
          <w:lang w:val="es-ES"/>
        </w:rPr>
        <w:t xml:space="preserve"> que pretenden responder al por</w:t>
      </w:r>
      <w:r w:rsidRPr="001B3EA2">
        <w:rPr>
          <w:rFonts w:cs="Times New Roman"/>
          <w:color w:val="000000" w:themeColor="text1"/>
          <w:lang w:val="es-ES"/>
        </w:rPr>
        <w:t>qué de un fenómeno</w:t>
      </w:r>
      <w:r w:rsidR="000E4374" w:rsidRPr="001B3EA2">
        <w:rPr>
          <w:rFonts w:cs="Times New Roman"/>
          <w:color w:val="000000" w:themeColor="text1"/>
          <w:lang w:val="es-ES"/>
        </w:rPr>
        <w:t xml:space="preserve"> social</w:t>
      </w:r>
      <w:r w:rsidRPr="001B3EA2">
        <w:rPr>
          <w:rFonts w:cs="Times New Roman"/>
          <w:color w:val="000000" w:themeColor="text1"/>
          <w:lang w:val="es-ES"/>
        </w:rPr>
        <w:t xml:space="preserve">, sólo pueden </w:t>
      </w:r>
      <w:r w:rsidR="000E4374" w:rsidRPr="001B3EA2">
        <w:rPr>
          <w:rFonts w:cs="Times New Roman"/>
          <w:color w:val="000000" w:themeColor="text1"/>
          <w:lang w:val="es-ES"/>
        </w:rPr>
        <w:t xml:space="preserve">ser </w:t>
      </w:r>
      <w:r w:rsidRPr="001B3EA2">
        <w:rPr>
          <w:rFonts w:cs="Times New Roman"/>
          <w:color w:val="000000" w:themeColor="text1"/>
          <w:lang w:val="es-ES"/>
        </w:rPr>
        <w:t xml:space="preserve">aquellas que se inscriben en el paradigma positivista o empirista, </w:t>
      </w:r>
      <w:proofErr w:type="spellStart"/>
      <w:r w:rsidRPr="001B3EA2">
        <w:rPr>
          <w:rFonts w:cs="Times New Roman"/>
          <w:color w:val="000000" w:themeColor="text1"/>
          <w:lang w:val="es-ES"/>
        </w:rPr>
        <w:t>Stake</w:t>
      </w:r>
      <w:proofErr w:type="spellEnd"/>
      <w:r w:rsidRPr="001B3EA2">
        <w:rPr>
          <w:rFonts w:cs="Times New Roman"/>
          <w:color w:val="000000" w:themeColor="text1"/>
          <w:lang w:val="es-ES"/>
        </w:rPr>
        <w:t xml:space="preserve"> (1995) </w:t>
      </w:r>
      <w:r w:rsidR="004F151F" w:rsidRPr="001B3EA2">
        <w:rPr>
          <w:rFonts w:cs="Times New Roman"/>
          <w:color w:val="000000" w:themeColor="text1"/>
          <w:lang w:val="es-ES"/>
        </w:rPr>
        <w:t xml:space="preserve">y </w:t>
      </w:r>
      <w:r w:rsidRPr="001B3EA2">
        <w:rPr>
          <w:rFonts w:cs="Times New Roman"/>
          <w:color w:val="000000" w:themeColor="text1"/>
          <w:lang w:val="es-ES"/>
        </w:rPr>
        <w:t>Yin (2003) argumentan que</w:t>
      </w:r>
      <w:r w:rsidR="000E4374" w:rsidRPr="001B3EA2">
        <w:rPr>
          <w:rFonts w:cs="Times New Roman"/>
          <w:color w:val="000000" w:themeColor="text1"/>
          <w:lang w:val="es-ES"/>
        </w:rPr>
        <w:t>,</w:t>
      </w:r>
      <w:r w:rsidRPr="001B3EA2">
        <w:rPr>
          <w:rFonts w:cs="Times New Roman"/>
          <w:color w:val="000000" w:themeColor="text1"/>
          <w:lang w:val="es-ES"/>
        </w:rPr>
        <w:t xml:space="preserve"> desde una mirada interpretativa concentrada en el estudio de un solo caso, también es posible responder al porqué de fen</w:t>
      </w:r>
      <w:r w:rsidR="000E4374" w:rsidRPr="001B3EA2">
        <w:rPr>
          <w:rFonts w:cs="Times New Roman"/>
          <w:color w:val="000000" w:themeColor="text1"/>
          <w:lang w:val="es-ES"/>
        </w:rPr>
        <w:t>ómenos sociales globales</w:t>
      </w:r>
      <w:r w:rsidRPr="001B3EA2">
        <w:rPr>
          <w:rFonts w:cs="Times New Roman"/>
          <w:color w:val="000000" w:themeColor="text1"/>
          <w:lang w:val="es-ES"/>
        </w:rPr>
        <w:t xml:space="preserve">, especialmente de aquellos cuya complejidad dificulta diferenciar claramente el fenómeno de su contexto. </w:t>
      </w:r>
      <w:r w:rsidR="000E4374" w:rsidRPr="001B3EA2">
        <w:rPr>
          <w:rFonts w:cs="Times New Roman"/>
          <w:color w:val="000000" w:themeColor="text1"/>
          <w:lang w:val="es-ES"/>
        </w:rPr>
        <w:t>Como ejemplo paradigmático, Yin</w:t>
      </w:r>
      <w:r w:rsidR="009653CB" w:rsidRPr="001B3EA2">
        <w:rPr>
          <w:rFonts w:cs="Times New Roman"/>
          <w:color w:val="000000" w:themeColor="text1"/>
          <w:lang w:val="es-ES"/>
        </w:rPr>
        <w:t xml:space="preserve"> (2003)</w:t>
      </w:r>
      <w:r w:rsidR="000E4374" w:rsidRPr="001B3EA2">
        <w:rPr>
          <w:rFonts w:cs="Times New Roman"/>
          <w:color w:val="000000" w:themeColor="text1"/>
          <w:lang w:val="es-ES"/>
        </w:rPr>
        <w:t xml:space="preserve"> refer</w:t>
      </w:r>
      <w:r w:rsidR="004F151F" w:rsidRPr="001B3EA2">
        <w:rPr>
          <w:rFonts w:cs="Times New Roman"/>
          <w:color w:val="000000" w:themeColor="text1"/>
          <w:lang w:val="es-ES"/>
        </w:rPr>
        <w:t>encia un</w:t>
      </w:r>
      <w:r w:rsidR="000E4374" w:rsidRPr="001B3EA2">
        <w:rPr>
          <w:rFonts w:cs="Times New Roman"/>
          <w:color w:val="000000" w:themeColor="text1"/>
          <w:lang w:val="es-ES"/>
        </w:rPr>
        <w:t xml:space="preserve"> </w:t>
      </w:r>
      <w:r w:rsidR="004F151F" w:rsidRPr="001B3EA2">
        <w:rPr>
          <w:rFonts w:cs="Times New Roman"/>
          <w:color w:val="000000" w:themeColor="text1"/>
          <w:lang w:val="es-ES"/>
        </w:rPr>
        <w:t xml:space="preserve">estudio </w:t>
      </w:r>
      <w:r w:rsidR="009653CB" w:rsidRPr="001B3EA2">
        <w:rPr>
          <w:rFonts w:cs="Times New Roman"/>
          <w:color w:val="000000" w:themeColor="text1"/>
          <w:lang w:val="es-ES"/>
        </w:rPr>
        <w:t>clásico sobre la llamada crisis de los misiles cubanos</w:t>
      </w:r>
      <w:r w:rsidR="000E4374" w:rsidRPr="001B3EA2">
        <w:rPr>
          <w:rFonts w:cs="Times New Roman"/>
          <w:color w:val="000000" w:themeColor="text1"/>
          <w:lang w:val="es-ES"/>
        </w:rPr>
        <w:t xml:space="preserve"> durante la Guerra Fría</w:t>
      </w:r>
      <w:r w:rsidR="009653CB" w:rsidRPr="001B3EA2">
        <w:rPr>
          <w:rFonts w:cs="Times New Roman"/>
          <w:color w:val="000000" w:themeColor="text1"/>
          <w:lang w:val="es-ES"/>
        </w:rPr>
        <w:t>: “</w:t>
      </w:r>
      <w:proofErr w:type="spellStart"/>
      <w:r w:rsidR="009653CB" w:rsidRPr="001B3EA2">
        <w:rPr>
          <w:rFonts w:cs="Times New Roman"/>
          <w:color w:val="000000" w:themeColor="text1"/>
          <w:lang w:val="es-ES"/>
        </w:rPr>
        <w:t>Essence</w:t>
      </w:r>
      <w:proofErr w:type="spellEnd"/>
      <w:r w:rsidR="009653CB" w:rsidRPr="001B3EA2">
        <w:rPr>
          <w:rFonts w:cs="Times New Roman"/>
          <w:color w:val="000000" w:themeColor="text1"/>
          <w:lang w:val="es-ES"/>
        </w:rPr>
        <w:t xml:space="preserve"> of </w:t>
      </w:r>
      <w:proofErr w:type="spellStart"/>
      <w:r w:rsidR="009653CB" w:rsidRPr="001B3EA2">
        <w:rPr>
          <w:rFonts w:cs="Times New Roman"/>
          <w:color w:val="000000" w:themeColor="text1"/>
          <w:lang w:val="es-ES"/>
        </w:rPr>
        <w:t>decision</w:t>
      </w:r>
      <w:proofErr w:type="spellEnd"/>
      <w:r w:rsidR="009653CB" w:rsidRPr="001B3EA2">
        <w:rPr>
          <w:rFonts w:cs="Times New Roman"/>
          <w:color w:val="000000" w:themeColor="text1"/>
          <w:lang w:val="es-ES"/>
        </w:rPr>
        <w:t>”</w:t>
      </w:r>
      <w:r w:rsidR="000E4374" w:rsidRPr="001B3EA2">
        <w:rPr>
          <w:rFonts w:cs="Times New Roman"/>
          <w:color w:val="000000" w:themeColor="text1"/>
          <w:lang w:val="es-ES"/>
        </w:rPr>
        <w:t xml:space="preserve"> (Allison</w:t>
      </w:r>
      <w:r w:rsidR="009653CB" w:rsidRPr="001B3EA2">
        <w:rPr>
          <w:rFonts w:cs="Times New Roman"/>
          <w:color w:val="000000" w:themeColor="text1"/>
          <w:lang w:val="es-ES"/>
        </w:rPr>
        <w:t xml:space="preserve"> &amp; </w:t>
      </w:r>
      <w:proofErr w:type="spellStart"/>
      <w:r w:rsidR="009653CB" w:rsidRPr="001B3EA2">
        <w:rPr>
          <w:rFonts w:cs="Times New Roman"/>
          <w:color w:val="000000" w:themeColor="text1"/>
          <w:lang w:val="es-ES"/>
        </w:rPr>
        <w:t>Zelikow</w:t>
      </w:r>
      <w:proofErr w:type="spellEnd"/>
      <w:r w:rsidR="009653CB" w:rsidRPr="001B3EA2">
        <w:rPr>
          <w:rFonts w:cs="Times New Roman"/>
          <w:color w:val="000000" w:themeColor="text1"/>
          <w:lang w:val="es-ES"/>
        </w:rPr>
        <w:t>, 1999</w:t>
      </w:r>
      <w:r w:rsidR="000E4374" w:rsidRPr="001B3EA2">
        <w:rPr>
          <w:rFonts w:cs="Times New Roman"/>
          <w:color w:val="000000" w:themeColor="text1"/>
          <w:lang w:val="es-ES"/>
        </w:rPr>
        <w:t xml:space="preserve">).  </w:t>
      </w:r>
    </w:p>
    <w:p w:rsidR="002111CE" w:rsidRPr="001B3EA2" w:rsidRDefault="002111CE" w:rsidP="009561DB">
      <w:pPr>
        <w:spacing w:after="0"/>
        <w:jc w:val="both"/>
        <w:rPr>
          <w:rFonts w:cs="Times New Roman"/>
          <w:color w:val="000000" w:themeColor="text1"/>
          <w:lang w:val="es-ES"/>
        </w:rPr>
      </w:pPr>
    </w:p>
    <w:p w:rsidR="00BA1F5B" w:rsidRPr="001B3EA2" w:rsidRDefault="005D703B" w:rsidP="009561DB">
      <w:pPr>
        <w:spacing w:after="0"/>
        <w:jc w:val="both"/>
        <w:rPr>
          <w:rFonts w:cs="Times New Roman"/>
          <w:color w:val="000000" w:themeColor="text1"/>
          <w:lang w:val="es-ES"/>
        </w:rPr>
      </w:pPr>
      <w:r w:rsidRPr="001B3EA2">
        <w:rPr>
          <w:rFonts w:cs="Times New Roman"/>
          <w:color w:val="000000" w:themeColor="text1"/>
          <w:lang w:val="es-ES"/>
        </w:rPr>
        <w:t xml:space="preserve">Tal es el caso del presente proyecto, en el que si bien el objeto de estudio principal es el porqué de una decisión tomada por el Concejo Municipal que rige a EPM, existe toda una red de actores </w:t>
      </w:r>
      <w:r w:rsidR="000E4374" w:rsidRPr="001B3EA2">
        <w:rPr>
          <w:rFonts w:cs="Times New Roman"/>
          <w:color w:val="000000" w:themeColor="text1"/>
          <w:lang w:val="es-ES"/>
        </w:rPr>
        <w:t xml:space="preserve">del gobierno, la industria y la sociedad (sindicatos, </w:t>
      </w:r>
      <w:proofErr w:type="spellStart"/>
      <w:r w:rsidR="000E4374" w:rsidRPr="001B3EA2">
        <w:rPr>
          <w:rFonts w:cs="Times New Roman"/>
          <w:color w:val="000000" w:themeColor="text1"/>
          <w:lang w:val="es-ES"/>
        </w:rPr>
        <w:t>ONGs</w:t>
      </w:r>
      <w:proofErr w:type="spellEnd"/>
      <w:r w:rsidR="000E4374" w:rsidRPr="001B3EA2">
        <w:rPr>
          <w:rFonts w:cs="Times New Roman"/>
          <w:color w:val="000000" w:themeColor="text1"/>
          <w:lang w:val="es-ES"/>
        </w:rPr>
        <w:t xml:space="preserve">, partidos políticos, </w:t>
      </w:r>
      <w:r w:rsidR="00F16ED3">
        <w:rPr>
          <w:rFonts w:cs="Times New Roman"/>
          <w:color w:val="000000" w:themeColor="text1"/>
          <w:lang w:val="es-ES"/>
        </w:rPr>
        <w:t xml:space="preserve">academia, </w:t>
      </w:r>
      <w:r w:rsidR="000E4374" w:rsidRPr="001B3EA2">
        <w:rPr>
          <w:rFonts w:cs="Times New Roman"/>
          <w:color w:val="000000" w:themeColor="text1"/>
          <w:lang w:val="es-ES"/>
        </w:rPr>
        <w:t xml:space="preserve">entre otros) que </w:t>
      </w:r>
      <w:r w:rsidR="00D2729B" w:rsidRPr="001B3EA2">
        <w:rPr>
          <w:rFonts w:cs="Times New Roman"/>
          <w:color w:val="000000" w:themeColor="text1"/>
          <w:lang w:val="es-ES"/>
        </w:rPr>
        <w:t>influencian</w:t>
      </w:r>
      <w:r w:rsidR="000E4374" w:rsidRPr="001B3EA2">
        <w:rPr>
          <w:rFonts w:cs="Times New Roman"/>
          <w:color w:val="000000" w:themeColor="text1"/>
          <w:lang w:val="es-ES"/>
        </w:rPr>
        <w:t xml:space="preserve"> directa</w:t>
      </w:r>
      <w:r w:rsidR="00E115CD" w:rsidRPr="001B3EA2">
        <w:rPr>
          <w:rFonts w:cs="Times New Roman"/>
          <w:color w:val="000000" w:themeColor="text1"/>
          <w:lang w:val="es-ES"/>
        </w:rPr>
        <w:t xml:space="preserve"> e indirecta</w:t>
      </w:r>
      <w:r w:rsidR="000E4374" w:rsidRPr="001B3EA2">
        <w:rPr>
          <w:rFonts w:cs="Times New Roman"/>
          <w:color w:val="000000" w:themeColor="text1"/>
          <w:lang w:val="es-ES"/>
        </w:rPr>
        <w:t xml:space="preserve">mente </w:t>
      </w:r>
      <w:r w:rsidR="00D2729B" w:rsidRPr="001B3EA2">
        <w:rPr>
          <w:rFonts w:cs="Times New Roman"/>
          <w:color w:val="000000" w:themeColor="text1"/>
          <w:lang w:val="es-ES"/>
        </w:rPr>
        <w:t>las decisiones del Concejo</w:t>
      </w:r>
      <w:r w:rsidR="000E4374" w:rsidRPr="001B3EA2">
        <w:rPr>
          <w:rFonts w:cs="Times New Roman"/>
          <w:color w:val="000000" w:themeColor="text1"/>
          <w:lang w:val="es-ES"/>
        </w:rPr>
        <w:t xml:space="preserve">. </w:t>
      </w:r>
    </w:p>
    <w:p w:rsidR="000E4374" w:rsidRPr="001B3EA2" w:rsidRDefault="000E4374" w:rsidP="009561DB">
      <w:pPr>
        <w:spacing w:after="0"/>
        <w:jc w:val="both"/>
        <w:rPr>
          <w:rFonts w:cs="Times New Roman"/>
          <w:color w:val="000000" w:themeColor="text1"/>
          <w:lang w:val="es-ES"/>
        </w:rPr>
      </w:pPr>
    </w:p>
    <w:p w:rsidR="000E4374" w:rsidRPr="001B3EA2" w:rsidRDefault="000E4374" w:rsidP="009561DB">
      <w:pPr>
        <w:spacing w:after="0"/>
        <w:jc w:val="both"/>
        <w:rPr>
          <w:rFonts w:cs="Times New Roman"/>
          <w:color w:val="000000" w:themeColor="text1"/>
          <w:lang w:val="es-ES"/>
        </w:rPr>
      </w:pPr>
      <w:r w:rsidRPr="001B3EA2">
        <w:rPr>
          <w:rFonts w:cs="Times New Roman"/>
          <w:color w:val="000000" w:themeColor="text1"/>
          <w:lang w:val="es-ES"/>
        </w:rPr>
        <w:t xml:space="preserve">Adicionalmente, </w:t>
      </w:r>
      <w:proofErr w:type="spellStart"/>
      <w:r w:rsidRPr="001B3EA2">
        <w:rPr>
          <w:rFonts w:cs="Times New Roman"/>
          <w:color w:val="000000" w:themeColor="text1"/>
          <w:lang w:val="es-ES"/>
        </w:rPr>
        <w:t>Stake</w:t>
      </w:r>
      <w:proofErr w:type="spellEnd"/>
      <w:r w:rsidRPr="001B3EA2">
        <w:rPr>
          <w:rFonts w:cs="Times New Roman"/>
          <w:color w:val="000000" w:themeColor="text1"/>
          <w:lang w:val="es-ES"/>
        </w:rPr>
        <w:t xml:space="preserve"> </w:t>
      </w:r>
      <w:r w:rsidR="009653CB" w:rsidRPr="001B3EA2">
        <w:rPr>
          <w:rFonts w:cs="Times New Roman"/>
          <w:color w:val="000000" w:themeColor="text1"/>
          <w:lang w:val="es-ES"/>
        </w:rPr>
        <w:t xml:space="preserve">(1995) </w:t>
      </w:r>
      <w:r w:rsidRPr="001B3EA2">
        <w:rPr>
          <w:rFonts w:cs="Times New Roman"/>
          <w:color w:val="000000" w:themeColor="text1"/>
          <w:lang w:val="es-ES"/>
        </w:rPr>
        <w:t xml:space="preserve">alude a un tipo de estudio de caso “instrumental” (que al mismo tiempo puede ser explicativo), en el cual el caso se usa como un pretexto para un propósito más amplio como, en el caso del presente proyecto, mejorar una </w:t>
      </w:r>
      <w:r w:rsidR="00AC3B68" w:rsidRPr="001B3EA2">
        <w:rPr>
          <w:rFonts w:cs="Times New Roman"/>
          <w:color w:val="000000" w:themeColor="text1"/>
          <w:lang w:val="es-ES"/>
        </w:rPr>
        <w:t>estructura conceptual</w:t>
      </w:r>
      <w:r w:rsidRPr="001B3EA2">
        <w:rPr>
          <w:rFonts w:cs="Times New Roman"/>
          <w:color w:val="000000" w:themeColor="text1"/>
          <w:lang w:val="es-ES"/>
        </w:rPr>
        <w:t xml:space="preserve"> existente. </w:t>
      </w:r>
    </w:p>
    <w:p w:rsidR="000E4374" w:rsidRPr="001B3EA2" w:rsidRDefault="000E4374" w:rsidP="009561DB">
      <w:pPr>
        <w:spacing w:after="0"/>
        <w:jc w:val="both"/>
        <w:rPr>
          <w:rFonts w:cs="Times New Roman"/>
          <w:color w:val="000000" w:themeColor="text1"/>
          <w:lang w:val="es-ES"/>
        </w:rPr>
      </w:pPr>
    </w:p>
    <w:p w:rsidR="000E4374" w:rsidRPr="001B3EA2" w:rsidRDefault="000E4374" w:rsidP="009561DB">
      <w:pPr>
        <w:spacing w:after="0"/>
        <w:jc w:val="both"/>
        <w:rPr>
          <w:rFonts w:cs="Times New Roman"/>
          <w:color w:val="000000" w:themeColor="text1"/>
          <w:lang w:val="es-ES"/>
        </w:rPr>
      </w:pPr>
      <w:r w:rsidRPr="001B3EA2">
        <w:rPr>
          <w:rFonts w:cs="Times New Roman"/>
          <w:color w:val="000000" w:themeColor="text1"/>
          <w:lang w:val="es-ES"/>
        </w:rPr>
        <w:t>A diferencia de otros métodos cualitativos como el etnográfico, el estudio de caso explicativo-instrumental, permite al investigador partir de premisas teóricas y estructuras conceptuales</w:t>
      </w:r>
      <w:r w:rsidR="005A2CCF" w:rsidRPr="001B3EA2">
        <w:rPr>
          <w:rFonts w:cs="Times New Roman"/>
          <w:color w:val="000000" w:themeColor="text1"/>
          <w:lang w:val="es-ES"/>
        </w:rPr>
        <w:t>, como base</w:t>
      </w:r>
      <w:r w:rsidRPr="001B3EA2">
        <w:rPr>
          <w:rFonts w:cs="Times New Roman"/>
          <w:color w:val="000000" w:themeColor="text1"/>
          <w:lang w:val="es-ES"/>
        </w:rPr>
        <w:t xml:space="preserve"> para orientar la selección de fuentes de información, describir relaciones conce</w:t>
      </w:r>
      <w:r w:rsidR="009D594B" w:rsidRPr="001B3EA2">
        <w:rPr>
          <w:rFonts w:cs="Times New Roman"/>
          <w:color w:val="000000" w:themeColor="text1"/>
          <w:lang w:val="es-ES"/>
        </w:rPr>
        <w:t xml:space="preserve">ptuales y </w:t>
      </w:r>
      <w:r w:rsidR="006C7DBB" w:rsidRPr="001B3EA2">
        <w:rPr>
          <w:rFonts w:cs="Times New Roman"/>
          <w:color w:val="000000" w:themeColor="text1"/>
          <w:lang w:val="es-ES"/>
        </w:rPr>
        <w:t>contrastar</w:t>
      </w:r>
      <w:r w:rsidR="009D594B" w:rsidRPr="001B3EA2">
        <w:rPr>
          <w:rFonts w:cs="Times New Roman"/>
          <w:color w:val="000000" w:themeColor="text1"/>
          <w:lang w:val="es-ES"/>
        </w:rPr>
        <w:t xml:space="preserve"> </w:t>
      </w:r>
      <w:r w:rsidRPr="001B3EA2">
        <w:rPr>
          <w:rFonts w:cs="Times New Roman"/>
          <w:color w:val="000000" w:themeColor="text1"/>
          <w:lang w:val="es-ES"/>
        </w:rPr>
        <w:t>teor</w:t>
      </w:r>
      <w:r w:rsidR="009D594B" w:rsidRPr="001B3EA2">
        <w:rPr>
          <w:rFonts w:cs="Times New Roman"/>
          <w:color w:val="000000" w:themeColor="text1"/>
          <w:lang w:val="es-ES"/>
        </w:rPr>
        <w:t xml:space="preserve">ías explicativas a medida que avanza el trabajo de campo. Pero al igual que en la etnografía, el estudio de caso </w:t>
      </w:r>
      <w:r w:rsidR="00C41EB0">
        <w:rPr>
          <w:rFonts w:cs="Times New Roman"/>
          <w:color w:val="000000" w:themeColor="text1"/>
          <w:lang w:val="es-ES"/>
        </w:rPr>
        <w:t>favorece el uso de</w:t>
      </w:r>
      <w:r w:rsidR="009D594B" w:rsidRPr="001B3EA2">
        <w:rPr>
          <w:rFonts w:cs="Times New Roman"/>
          <w:color w:val="000000" w:themeColor="text1"/>
          <w:lang w:val="es-ES"/>
        </w:rPr>
        <w:t xml:space="preserve"> técnicas cualitativas en las que se privilegia la explicación del “porqué” en los términos y lógicas pr</w:t>
      </w:r>
      <w:r w:rsidR="00295B3E" w:rsidRPr="001B3EA2">
        <w:rPr>
          <w:rFonts w:cs="Times New Roman"/>
          <w:color w:val="000000" w:themeColor="text1"/>
          <w:lang w:val="es-ES"/>
        </w:rPr>
        <w:t xml:space="preserve">opias de los sujetos de estudio, sin necesidad de recurrir a hipótesis ni teorías comprobatorias. </w:t>
      </w:r>
      <w:r w:rsidR="009D594B" w:rsidRPr="001B3EA2">
        <w:rPr>
          <w:rFonts w:cs="Times New Roman"/>
          <w:color w:val="000000" w:themeColor="text1"/>
          <w:lang w:val="es-ES"/>
        </w:rPr>
        <w:t xml:space="preserve">  </w:t>
      </w:r>
      <w:r w:rsidRPr="001B3EA2">
        <w:rPr>
          <w:rFonts w:cs="Times New Roman"/>
          <w:color w:val="000000" w:themeColor="text1"/>
          <w:lang w:val="es-ES"/>
        </w:rPr>
        <w:t xml:space="preserve"> </w:t>
      </w:r>
    </w:p>
    <w:p w:rsidR="000E4374" w:rsidRPr="001B3EA2" w:rsidRDefault="000E4374" w:rsidP="009561DB">
      <w:pPr>
        <w:spacing w:after="0"/>
        <w:jc w:val="both"/>
        <w:rPr>
          <w:rFonts w:cs="Times New Roman"/>
          <w:color w:val="000000" w:themeColor="text1"/>
          <w:lang w:val="es-ES"/>
        </w:rPr>
      </w:pPr>
    </w:p>
    <w:p w:rsidR="006C7DBB" w:rsidRPr="001B3EA2" w:rsidRDefault="009D594B" w:rsidP="009561DB">
      <w:pPr>
        <w:spacing w:after="0"/>
        <w:jc w:val="both"/>
        <w:rPr>
          <w:rFonts w:cs="Times New Roman"/>
          <w:color w:val="000000" w:themeColor="text1"/>
          <w:lang w:val="es-CO"/>
        </w:rPr>
      </w:pPr>
      <w:r w:rsidRPr="001B3EA2">
        <w:rPr>
          <w:rFonts w:cs="Times New Roman"/>
          <w:color w:val="000000" w:themeColor="text1"/>
          <w:lang w:val="es-CO"/>
        </w:rPr>
        <w:t xml:space="preserve">Bajo esta perspectiva, para definir las fuentes </w:t>
      </w:r>
      <w:r w:rsidR="006C7DBB" w:rsidRPr="001B3EA2">
        <w:rPr>
          <w:rFonts w:cs="Times New Roman"/>
          <w:color w:val="000000" w:themeColor="text1"/>
          <w:lang w:val="es-CO"/>
        </w:rPr>
        <w:t>de información, las muestras, las técnicas y los procedimientos de</w:t>
      </w:r>
      <w:r w:rsidR="009653CB" w:rsidRPr="001B3EA2">
        <w:rPr>
          <w:rFonts w:cs="Times New Roman"/>
          <w:color w:val="000000" w:themeColor="text1"/>
          <w:lang w:val="es-CO"/>
        </w:rPr>
        <w:t xml:space="preserve"> la presente</w:t>
      </w:r>
      <w:r w:rsidR="006C7DBB" w:rsidRPr="001B3EA2">
        <w:rPr>
          <w:rFonts w:cs="Times New Roman"/>
          <w:color w:val="000000" w:themeColor="text1"/>
          <w:lang w:val="es-CO"/>
        </w:rPr>
        <w:t xml:space="preserve"> investigación,</w:t>
      </w:r>
      <w:r w:rsidRPr="001B3EA2">
        <w:rPr>
          <w:rFonts w:cs="Times New Roman"/>
          <w:color w:val="000000" w:themeColor="text1"/>
          <w:lang w:val="es-CO"/>
        </w:rPr>
        <w:t xml:space="preserve"> se </w:t>
      </w:r>
      <w:r w:rsidR="006C7DBB" w:rsidRPr="001B3EA2">
        <w:rPr>
          <w:rFonts w:cs="Times New Roman"/>
          <w:color w:val="000000" w:themeColor="text1"/>
          <w:lang w:val="es-CO"/>
        </w:rPr>
        <w:t>retoma la estructura conceptual descrita anteriormente, así:</w:t>
      </w:r>
    </w:p>
    <w:p w:rsidR="006C7DBB" w:rsidRPr="001B3EA2" w:rsidRDefault="006C7DBB" w:rsidP="009561DB">
      <w:pPr>
        <w:spacing w:after="0"/>
        <w:jc w:val="both"/>
        <w:rPr>
          <w:rFonts w:cs="Times New Roman"/>
          <w:color w:val="000000" w:themeColor="text1"/>
          <w:lang w:val="es-CO"/>
        </w:rPr>
      </w:pPr>
    </w:p>
    <w:p w:rsidR="006C7DBB" w:rsidRPr="001B3EA2" w:rsidRDefault="006C7DBB" w:rsidP="009561DB">
      <w:pPr>
        <w:spacing w:after="0"/>
        <w:jc w:val="both"/>
        <w:rPr>
          <w:rFonts w:cs="Times New Roman"/>
          <w:color w:val="000000" w:themeColor="text1"/>
          <w:lang w:val="es-CO"/>
        </w:rPr>
      </w:pPr>
    </w:p>
    <w:p w:rsidR="006C7DBB" w:rsidRPr="001B3EA2" w:rsidRDefault="006C7DBB" w:rsidP="009561DB">
      <w:pPr>
        <w:spacing w:after="0"/>
        <w:jc w:val="both"/>
        <w:rPr>
          <w:rFonts w:cs="Times New Roman"/>
          <w:color w:val="000000" w:themeColor="text1"/>
          <w:lang w:val="es-CO"/>
        </w:rPr>
      </w:pPr>
    </w:p>
    <w:p w:rsidR="006C7DBB" w:rsidRPr="001B3EA2" w:rsidRDefault="006C7DBB" w:rsidP="009561DB">
      <w:pPr>
        <w:spacing w:after="0"/>
        <w:jc w:val="both"/>
        <w:rPr>
          <w:rFonts w:cs="Times New Roman"/>
          <w:color w:val="000000" w:themeColor="text1"/>
          <w:lang w:val="es-CO"/>
        </w:rPr>
      </w:pPr>
    </w:p>
    <w:p w:rsidR="005A22D7" w:rsidRDefault="005A22D7" w:rsidP="009561DB">
      <w:pPr>
        <w:spacing w:after="0"/>
        <w:jc w:val="both"/>
        <w:rPr>
          <w:rFonts w:cs="Times New Roman"/>
          <w:color w:val="000000" w:themeColor="text1"/>
          <w:lang w:val="es-CO"/>
        </w:rPr>
        <w:sectPr w:rsidR="005A22D7" w:rsidSect="005A22D7">
          <w:footerReference w:type="default" r:id="rId16"/>
          <w:pgSz w:w="12240" w:h="15840" w:code="122"/>
          <w:pgMar w:top="1418" w:right="1701" w:bottom="1418" w:left="1701" w:header="709" w:footer="709" w:gutter="0"/>
          <w:cols w:space="708"/>
          <w:docGrid w:linePitch="360"/>
        </w:sectPr>
      </w:pPr>
    </w:p>
    <w:p w:rsidR="0030766F" w:rsidRPr="001B3EA2" w:rsidRDefault="0068273F" w:rsidP="009561DB">
      <w:pPr>
        <w:spacing w:after="0"/>
        <w:jc w:val="both"/>
        <w:rPr>
          <w:rFonts w:cs="Times New Roman"/>
          <w:color w:val="000000" w:themeColor="text1"/>
          <w:u w:val="single"/>
          <w:lang w:val="es-CO"/>
        </w:rPr>
      </w:pPr>
      <w:r>
        <w:rPr>
          <w:rFonts w:cs="Times New Roman"/>
          <w:color w:val="000000" w:themeColor="text1"/>
          <w:u w:val="single"/>
          <w:lang w:val="es-CO"/>
        </w:rPr>
        <w:lastRenderedPageBreak/>
        <w:t>Tabla 3</w:t>
      </w:r>
      <w:r w:rsidR="0030766F" w:rsidRPr="001B3EA2">
        <w:rPr>
          <w:rFonts w:cs="Times New Roman"/>
          <w:color w:val="000000" w:themeColor="text1"/>
          <w:u w:val="single"/>
          <w:lang w:val="es-CO"/>
        </w:rPr>
        <w:t>. Fases de la investigación</w:t>
      </w:r>
    </w:p>
    <w:tbl>
      <w:tblPr>
        <w:tblStyle w:val="Tablaconcuadrcula"/>
        <w:tblpPr w:leftFromText="141" w:rightFromText="141" w:vertAnchor="text" w:horzAnchor="margin" w:tblpY="355"/>
        <w:tblW w:w="12866" w:type="dxa"/>
        <w:tblLayout w:type="fixed"/>
        <w:tblLook w:val="04A0" w:firstRow="1" w:lastRow="0" w:firstColumn="1" w:lastColumn="0" w:noHBand="0" w:noVBand="1"/>
      </w:tblPr>
      <w:tblGrid>
        <w:gridCol w:w="1526"/>
        <w:gridCol w:w="1559"/>
        <w:gridCol w:w="1843"/>
        <w:gridCol w:w="2410"/>
        <w:gridCol w:w="1701"/>
        <w:gridCol w:w="3827"/>
      </w:tblGrid>
      <w:tr w:rsidR="001B3EA2" w:rsidRPr="001B3EA2" w:rsidTr="002410E7">
        <w:tc>
          <w:tcPr>
            <w:tcW w:w="1526" w:type="dxa"/>
          </w:tcPr>
          <w:p w:rsidR="00AF343B" w:rsidRPr="001B3EA2" w:rsidRDefault="00AF343B" w:rsidP="009561DB">
            <w:pPr>
              <w:jc w:val="both"/>
              <w:rPr>
                <w:rFonts w:cs="Times New Roman"/>
                <w:b/>
                <w:color w:val="000000" w:themeColor="text1"/>
                <w:lang w:val="es-CO"/>
              </w:rPr>
            </w:pPr>
            <w:r w:rsidRPr="001B3EA2">
              <w:rPr>
                <w:rFonts w:cs="Times New Roman"/>
                <w:b/>
                <w:color w:val="000000" w:themeColor="text1"/>
                <w:lang w:val="es-CO"/>
              </w:rPr>
              <w:t>Fase</w:t>
            </w:r>
          </w:p>
        </w:tc>
        <w:tc>
          <w:tcPr>
            <w:tcW w:w="1559" w:type="dxa"/>
          </w:tcPr>
          <w:p w:rsidR="00AF343B" w:rsidRPr="001B3EA2" w:rsidRDefault="00AF343B" w:rsidP="009561DB">
            <w:pPr>
              <w:jc w:val="both"/>
              <w:rPr>
                <w:rFonts w:cs="Times New Roman"/>
                <w:b/>
                <w:color w:val="000000" w:themeColor="text1"/>
                <w:lang w:val="es-CO"/>
              </w:rPr>
            </w:pPr>
            <w:r w:rsidRPr="001B3EA2">
              <w:rPr>
                <w:rFonts w:cs="Times New Roman"/>
                <w:b/>
                <w:color w:val="000000" w:themeColor="text1"/>
                <w:lang w:val="es-CO"/>
              </w:rPr>
              <w:t>Premisas</w:t>
            </w:r>
          </w:p>
        </w:tc>
        <w:tc>
          <w:tcPr>
            <w:tcW w:w="1843" w:type="dxa"/>
          </w:tcPr>
          <w:p w:rsidR="00AF343B" w:rsidRPr="001B3EA2" w:rsidRDefault="00AF343B" w:rsidP="009561DB">
            <w:pPr>
              <w:jc w:val="both"/>
              <w:rPr>
                <w:rFonts w:cs="Times New Roman"/>
                <w:b/>
                <w:color w:val="000000" w:themeColor="text1"/>
                <w:lang w:val="es-CO"/>
              </w:rPr>
            </w:pPr>
            <w:r w:rsidRPr="001B3EA2">
              <w:rPr>
                <w:rFonts w:cs="Times New Roman"/>
                <w:b/>
                <w:color w:val="000000" w:themeColor="text1"/>
                <w:lang w:val="es-CO"/>
              </w:rPr>
              <w:t xml:space="preserve">Fuentes </w:t>
            </w:r>
          </w:p>
        </w:tc>
        <w:tc>
          <w:tcPr>
            <w:tcW w:w="2410" w:type="dxa"/>
          </w:tcPr>
          <w:p w:rsidR="00AF343B" w:rsidRPr="001B3EA2" w:rsidRDefault="00AF343B" w:rsidP="009561DB">
            <w:pPr>
              <w:jc w:val="both"/>
              <w:rPr>
                <w:rFonts w:cs="Times New Roman"/>
                <w:b/>
                <w:color w:val="000000" w:themeColor="text1"/>
                <w:lang w:val="es-CO"/>
              </w:rPr>
            </w:pPr>
            <w:r w:rsidRPr="001B3EA2">
              <w:rPr>
                <w:rFonts w:cs="Times New Roman"/>
                <w:b/>
                <w:color w:val="000000" w:themeColor="text1"/>
                <w:lang w:val="es-CO"/>
              </w:rPr>
              <w:t>Muestra</w:t>
            </w:r>
          </w:p>
        </w:tc>
        <w:tc>
          <w:tcPr>
            <w:tcW w:w="1701" w:type="dxa"/>
          </w:tcPr>
          <w:p w:rsidR="00AF343B" w:rsidRPr="001B3EA2" w:rsidRDefault="00AF343B" w:rsidP="009561DB">
            <w:pPr>
              <w:jc w:val="both"/>
              <w:rPr>
                <w:rFonts w:cs="Times New Roman"/>
                <w:b/>
                <w:color w:val="000000" w:themeColor="text1"/>
                <w:lang w:val="es-CO"/>
              </w:rPr>
            </w:pPr>
            <w:r w:rsidRPr="001B3EA2">
              <w:rPr>
                <w:rFonts w:cs="Times New Roman"/>
                <w:b/>
                <w:color w:val="000000" w:themeColor="text1"/>
                <w:lang w:val="es-CO"/>
              </w:rPr>
              <w:t>Técnicas</w:t>
            </w:r>
          </w:p>
        </w:tc>
        <w:tc>
          <w:tcPr>
            <w:tcW w:w="3827" w:type="dxa"/>
          </w:tcPr>
          <w:p w:rsidR="00AF343B" w:rsidRPr="001B3EA2" w:rsidRDefault="00AF343B" w:rsidP="009561DB">
            <w:pPr>
              <w:jc w:val="both"/>
              <w:rPr>
                <w:rFonts w:cs="Times New Roman"/>
                <w:b/>
                <w:color w:val="000000" w:themeColor="text1"/>
                <w:lang w:val="es-CO"/>
              </w:rPr>
            </w:pPr>
            <w:r w:rsidRPr="001B3EA2">
              <w:rPr>
                <w:rFonts w:cs="Times New Roman"/>
                <w:b/>
                <w:color w:val="000000" w:themeColor="text1"/>
                <w:lang w:val="es-CO"/>
              </w:rPr>
              <w:t>Procedimiento</w:t>
            </w:r>
            <w:r w:rsidR="00D425C9">
              <w:rPr>
                <w:rFonts w:cs="Times New Roman"/>
                <w:b/>
                <w:color w:val="000000" w:themeColor="text1"/>
                <w:lang w:val="es-CO"/>
              </w:rPr>
              <w:t>s</w:t>
            </w:r>
          </w:p>
        </w:tc>
      </w:tr>
      <w:tr w:rsidR="001B3EA2" w:rsidRPr="00993183" w:rsidTr="002410E7">
        <w:trPr>
          <w:cantSplit/>
          <w:trHeight w:val="1134"/>
        </w:trPr>
        <w:tc>
          <w:tcPr>
            <w:tcW w:w="1526" w:type="dxa"/>
          </w:tcPr>
          <w:p w:rsidR="00AF343B" w:rsidRPr="001B3EA2" w:rsidRDefault="00C41EB0" w:rsidP="009561DB">
            <w:pPr>
              <w:rPr>
                <w:rFonts w:cs="Times New Roman"/>
                <w:b/>
                <w:color w:val="000000" w:themeColor="text1"/>
                <w:lang w:val="es-CO"/>
              </w:rPr>
            </w:pPr>
            <w:r>
              <w:rPr>
                <w:rFonts w:cs="Times New Roman"/>
                <w:b/>
                <w:color w:val="000000" w:themeColor="text1"/>
                <w:lang w:val="es-CO"/>
              </w:rPr>
              <w:t xml:space="preserve">I </w:t>
            </w:r>
            <w:r w:rsidR="00AF343B" w:rsidRPr="001B3EA2">
              <w:rPr>
                <w:rFonts w:cs="Times New Roman"/>
                <w:b/>
                <w:color w:val="000000" w:themeColor="text1"/>
                <w:lang w:val="es-CO"/>
              </w:rPr>
              <w:t>Prescripción inicial</w:t>
            </w:r>
          </w:p>
        </w:tc>
        <w:tc>
          <w:tcPr>
            <w:tcW w:w="1559" w:type="dxa"/>
          </w:tcPr>
          <w:p w:rsidR="00AF343B" w:rsidRPr="001B3EA2" w:rsidRDefault="009E3F98" w:rsidP="009561DB">
            <w:pPr>
              <w:jc w:val="both"/>
              <w:rPr>
                <w:rFonts w:cs="Times New Roman"/>
                <w:color w:val="000000" w:themeColor="text1"/>
                <w:lang w:val="es-CO"/>
              </w:rPr>
            </w:pPr>
            <w:r w:rsidRPr="001B3EA2">
              <w:rPr>
                <w:rFonts w:cs="Times New Roman"/>
                <w:color w:val="000000" w:themeColor="text1"/>
                <w:lang w:val="es-CO"/>
              </w:rPr>
              <w:t>Por definir.</w:t>
            </w:r>
          </w:p>
          <w:p w:rsidR="000C4EB0" w:rsidRPr="001B3EA2" w:rsidRDefault="000C4EB0" w:rsidP="009561DB">
            <w:pPr>
              <w:jc w:val="both"/>
              <w:rPr>
                <w:rFonts w:cs="Times New Roman"/>
                <w:color w:val="000000" w:themeColor="text1"/>
                <w:lang w:val="es-CO"/>
              </w:rPr>
            </w:pPr>
          </w:p>
        </w:tc>
        <w:tc>
          <w:tcPr>
            <w:tcW w:w="1843" w:type="dxa"/>
          </w:tcPr>
          <w:p w:rsidR="00AF343B" w:rsidRPr="001B3EA2" w:rsidRDefault="00AF343B" w:rsidP="009561DB">
            <w:pPr>
              <w:jc w:val="both"/>
              <w:rPr>
                <w:rFonts w:cs="Times New Roman"/>
                <w:color w:val="000000" w:themeColor="text1"/>
                <w:lang w:val="es-CO"/>
              </w:rPr>
            </w:pPr>
            <w:r w:rsidRPr="001B3EA2">
              <w:rPr>
                <w:rFonts w:cs="Times New Roman"/>
                <w:color w:val="000000" w:themeColor="text1"/>
                <w:lang w:val="es-CO"/>
              </w:rPr>
              <w:t xml:space="preserve">Artículos científicos relacionados con la prescripción de la responsabilidad social de empresas estatales. </w:t>
            </w:r>
          </w:p>
        </w:tc>
        <w:tc>
          <w:tcPr>
            <w:tcW w:w="2410" w:type="dxa"/>
          </w:tcPr>
          <w:p w:rsidR="00C46D6E" w:rsidRPr="001B3EA2" w:rsidRDefault="00C46D6E" w:rsidP="009561DB">
            <w:pPr>
              <w:jc w:val="both"/>
              <w:rPr>
                <w:rFonts w:cs="Times New Roman"/>
                <w:color w:val="000000" w:themeColor="text1"/>
                <w:lang w:val="es-CO"/>
              </w:rPr>
            </w:pPr>
            <w:r w:rsidRPr="001B3EA2">
              <w:rPr>
                <w:rFonts w:cs="Times New Roman"/>
                <w:color w:val="000000" w:themeColor="text1"/>
                <w:lang w:val="es-CO"/>
              </w:rPr>
              <w:t xml:space="preserve">Intencional: </w:t>
            </w:r>
          </w:p>
          <w:p w:rsidR="00AA0856" w:rsidRPr="001B3EA2" w:rsidRDefault="00EE4AA7" w:rsidP="009561DB">
            <w:pPr>
              <w:jc w:val="both"/>
              <w:rPr>
                <w:rFonts w:cs="Times New Roman"/>
                <w:color w:val="000000" w:themeColor="text1"/>
                <w:lang w:val="es-CO"/>
              </w:rPr>
            </w:pPr>
            <w:r w:rsidRPr="001B3EA2">
              <w:rPr>
                <w:rFonts w:cs="Times New Roman"/>
                <w:color w:val="000000" w:themeColor="text1"/>
                <w:lang w:val="es-CO"/>
              </w:rPr>
              <w:t xml:space="preserve">Artículos publicados en las revistas internacionales y nacionales de mayor impacto en el ámbito de la ética organizacional, </w:t>
            </w:r>
          </w:p>
          <w:p w:rsidR="00AF343B" w:rsidRPr="001B3EA2" w:rsidRDefault="00AF343B" w:rsidP="009561DB">
            <w:pPr>
              <w:jc w:val="both"/>
              <w:rPr>
                <w:rFonts w:cs="Times New Roman"/>
                <w:color w:val="000000" w:themeColor="text1"/>
                <w:lang w:val="es-CO"/>
              </w:rPr>
            </w:pPr>
            <w:proofErr w:type="gramStart"/>
            <w:r w:rsidRPr="001B3EA2">
              <w:rPr>
                <w:rFonts w:cs="Times New Roman"/>
                <w:color w:val="000000" w:themeColor="text1"/>
                <w:lang w:val="es-CO"/>
              </w:rPr>
              <w:t>p</w:t>
            </w:r>
            <w:r w:rsidR="00EE4AA7" w:rsidRPr="001B3EA2">
              <w:rPr>
                <w:rFonts w:cs="Times New Roman"/>
                <w:color w:val="000000" w:themeColor="text1"/>
                <w:lang w:val="es-CO"/>
              </w:rPr>
              <w:t>roducidos</w:t>
            </w:r>
            <w:proofErr w:type="gramEnd"/>
            <w:r w:rsidR="00EE4AA7" w:rsidRPr="001B3EA2">
              <w:rPr>
                <w:rFonts w:cs="Times New Roman"/>
                <w:color w:val="000000" w:themeColor="text1"/>
                <w:lang w:val="es-CO"/>
              </w:rPr>
              <w:t xml:space="preserve"> entre 2004</w:t>
            </w:r>
            <w:r w:rsidRPr="001B3EA2">
              <w:rPr>
                <w:rFonts w:cs="Times New Roman"/>
                <w:color w:val="000000" w:themeColor="text1"/>
                <w:lang w:val="es-CO"/>
              </w:rPr>
              <w:t xml:space="preserve"> </w:t>
            </w:r>
            <w:r w:rsidR="00EE4AA7" w:rsidRPr="001B3EA2">
              <w:rPr>
                <w:rFonts w:cs="Times New Roman"/>
                <w:color w:val="000000" w:themeColor="text1"/>
                <w:lang w:val="es-CO"/>
              </w:rPr>
              <w:t xml:space="preserve">– 2014. </w:t>
            </w:r>
          </w:p>
        </w:tc>
        <w:tc>
          <w:tcPr>
            <w:tcW w:w="1701" w:type="dxa"/>
          </w:tcPr>
          <w:p w:rsidR="00AF343B" w:rsidRPr="001B3EA2" w:rsidRDefault="00AF343B" w:rsidP="009561DB">
            <w:pPr>
              <w:jc w:val="both"/>
              <w:rPr>
                <w:rFonts w:cs="Times New Roman"/>
                <w:color w:val="000000" w:themeColor="text1"/>
                <w:lang w:val="es-CO"/>
              </w:rPr>
            </w:pPr>
            <w:r w:rsidRPr="001B3EA2">
              <w:rPr>
                <w:rFonts w:cs="Times New Roman"/>
                <w:color w:val="000000" w:themeColor="text1"/>
                <w:lang w:val="es-CO"/>
              </w:rPr>
              <w:t>Revisión bibliográfica</w:t>
            </w:r>
          </w:p>
        </w:tc>
        <w:tc>
          <w:tcPr>
            <w:tcW w:w="3827" w:type="dxa"/>
          </w:tcPr>
          <w:p w:rsidR="00C903C4" w:rsidRDefault="00AF343B" w:rsidP="009561DB">
            <w:pPr>
              <w:jc w:val="both"/>
              <w:rPr>
                <w:rFonts w:cs="Times New Roman"/>
                <w:color w:val="000000" w:themeColor="text1"/>
                <w:lang w:val="es-CO"/>
              </w:rPr>
            </w:pPr>
            <w:r w:rsidRPr="001B3EA2">
              <w:rPr>
                <w:rFonts w:cs="Times New Roman"/>
                <w:color w:val="000000" w:themeColor="text1"/>
                <w:lang w:val="es-CO"/>
              </w:rPr>
              <w:t>Consulta en base de da</w:t>
            </w:r>
            <w:r w:rsidR="007A2C94" w:rsidRPr="001B3EA2">
              <w:rPr>
                <w:rFonts w:cs="Times New Roman"/>
                <w:color w:val="000000" w:themeColor="text1"/>
                <w:lang w:val="es-CO"/>
              </w:rPr>
              <w:t>tos especializada</w:t>
            </w:r>
            <w:r w:rsidRPr="001B3EA2">
              <w:rPr>
                <w:rFonts w:cs="Times New Roman"/>
                <w:color w:val="000000" w:themeColor="text1"/>
                <w:lang w:val="es-CO"/>
              </w:rPr>
              <w:t xml:space="preserve"> (Business </w:t>
            </w:r>
            <w:proofErr w:type="spellStart"/>
            <w:r w:rsidRPr="001B3EA2">
              <w:rPr>
                <w:rFonts w:cs="Times New Roman"/>
                <w:color w:val="000000" w:themeColor="text1"/>
                <w:lang w:val="es-CO"/>
              </w:rPr>
              <w:t>Source</w:t>
            </w:r>
            <w:proofErr w:type="spellEnd"/>
            <w:r w:rsidRPr="001B3EA2">
              <w:rPr>
                <w:rFonts w:cs="Times New Roman"/>
                <w:color w:val="000000" w:themeColor="text1"/>
                <w:lang w:val="es-CO"/>
              </w:rPr>
              <w:t xml:space="preserve"> Complete). </w:t>
            </w:r>
          </w:p>
          <w:p w:rsidR="00C903C4" w:rsidRDefault="00C903C4" w:rsidP="009561DB">
            <w:pPr>
              <w:jc w:val="both"/>
              <w:rPr>
                <w:rFonts w:cs="Times New Roman"/>
                <w:color w:val="000000" w:themeColor="text1"/>
                <w:lang w:val="es-CO"/>
              </w:rPr>
            </w:pPr>
          </w:p>
          <w:p w:rsidR="00AF343B" w:rsidRPr="001B3EA2" w:rsidRDefault="00AF343B" w:rsidP="009561DB">
            <w:pPr>
              <w:jc w:val="both"/>
              <w:rPr>
                <w:rFonts w:cs="Times New Roman"/>
                <w:color w:val="000000" w:themeColor="text1"/>
                <w:lang w:val="es-CO"/>
              </w:rPr>
            </w:pPr>
            <w:r w:rsidRPr="001B3EA2">
              <w:rPr>
                <w:rFonts w:cs="Times New Roman"/>
                <w:color w:val="000000" w:themeColor="text1"/>
                <w:lang w:val="es-CO"/>
              </w:rPr>
              <w:t xml:space="preserve">Análisis e interpretación de artículos seleccionados. </w:t>
            </w:r>
          </w:p>
          <w:p w:rsidR="00AF343B" w:rsidRPr="001B3EA2" w:rsidRDefault="00AF343B" w:rsidP="009561DB">
            <w:pPr>
              <w:jc w:val="both"/>
              <w:rPr>
                <w:rFonts w:cs="Times New Roman"/>
                <w:color w:val="000000" w:themeColor="text1"/>
                <w:lang w:val="es-CO"/>
              </w:rPr>
            </w:pPr>
          </w:p>
          <w:p w:rsidR="00AF343B" w:rsidRPr="001B3EA2" w:rsidRDefault="00AF343B" w:rsidP="009561DB">
            <w:pPr>
              <w:jc w:val="both"/>
              <w:rPr>
                <w:rFonts w:cs="Times New Roman"/>
                <w:color w:val="000000" w:themeColor="text1"/>
                <w:lang w:val="es-CO"/>
              </w:rPr>
            </w:pPr>
            <w:r w:rsidRPr="001B3EA2">
              <w:rPr>
                <w:rFonts w:cs="Times New Roman"/>
                <w:color w:val="000000" w:themeColor="text1"/>
                <w:lang w:val="es-CO"/>
              </w:rPr>
              <w:t xml:space="preserve">Elaboración de artículo de revisión. </w:t>
            </w:r>
          </w:p>
        </w:tc>
      </w:tr>
      <w:tr w:rsidR="00C903C4" w:rsidRPr="00993183" w:rsidTr="002410E7">
        <w:tc>
          <w:tcPr>
            <w:tcW w:w="1526" w:type="dxa"/>
            <w:vMerge w:val="restart"/>
          </w:tcPr>
          <w:p w:rsidR="00C903C4" w:rsidRPr="001B3EA2" w:rsidRDefault="00C903C4" w:rsidP="009561DB">
            <w:pPr>
              <w:rPr>
                <w:rFonts w:cs="Times New Roman"/>
                <w:b/>
                <w:color w:val="000000" w:themeColor="text1"/>
                <w:lang w:val="es-CO"/>
              </w:rPr>
            </w:pPr>
            <w:r w:rsidRPr="001B3EA2">
              <w:rPr>
                <w:rFonts w:cs="Times New Roman"/>
                <w:b/>
                <w:color w:val="000000" w:themeColor="text1"/>
                <w:lang w:val="es-CO"/>
              </w:rPr>
              <w:t>II.</w:t>
            </w:r>
          </w:p>
          <w:p w:rsidR="00C903C4" w:rsidRPr="001B3EA2" w:rsidRDefault="00C903C4" w:rsidP="009561DB">
            <w:pPr>
              <w:jc w:val="center"/>
              <w:rPr>
                <w:rFonts w:cs="Times New Roman"/>
                <w:color w:val="000000" w:themeColor="text1"/>
                <w:lang w:val="es-CO"/>
              </w:rPr>
            </w:pPr>
            <w:r w:rsidRPr="001B3EA2">
              <w:rPr>
                <w:rFonts w:cs="Times New Roman"/>
                <w:b/>
                <w:color w:val="000000" w:themeColor="text1"/>
                <w:lang w:val="es-CO"/>
              </w:rPr>
              <w:t>Descripción</w:t>
            </w:r>
          </w:p>
        </w:tc>
        <w:tc>
          <w:tcPr>
            <w:tcW w:w="1559" w:type="dxa"/>
            <w:vMerge w:val="restart"/>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Se definen inductivamente durante la investigación.  </w:t>
            </w:r>
          </w:p>
        </w:tc>
        <w:tc>
          <w:tcPr>
            <w:tcW w:w="1843" w:type="dxa"/>
          </w:tcPr>
          <w:p w:rsidR="00C903C4" w:rsidRPr="001B3EA2" w:rsidRDefault="00C903C4" w:rsidP="009561DB">
            <w:pPr>
              <w:jc w:val="both"/>
              <w:rPr>
                <w:rFonts w:cs="Times New Roman"/>
                <w:color w:val="000000" w:themeColor="text1"/>
                <w:lang w:val="es-CO"/>
              </w:rPr>
            </w:pPr>
            <w:r>
              <w:rPr>
                <w:rFonts w:cs="Times New Roman"/>
                <w:color w:val="000000" w:themeColor="text1"/>
                <w:lang w:val="es-CO"/>
              </w:rPr>
              <w:t xml:space="preserve">22 </w:t>
            </w:r>
            <w:r w:rsidRPr="001B3EA2">
              <w:rPr>
                <w:rFonts w:cs="Times New Roman"/>
                <w:color w:val="000000" w:themeColor="text1"/>
                <w:lang w:val="es-CO"/>
              </w:rPr>
              <w:t>Concejales del Municipio de Medellín periodo 2012 – 2015</w:t>
            </w:r>
            <w:r>
              <w:rPr>
                <w:rFonts w:cs="Times New Roman"/>
                <w:color w:val="000000" w:themeColor="text1"/>
                <w:lang w:val="es-CO"/>
              </w:rPr>
              <w:t xml:space="preserve">; Alcalde Mayor de Medellín. </w:t>
            </w:r>
          </w:p>
        </w:tc>
        <w:tc>
          <w:tcPr>
            <w:tcW w:w="2410"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Censal</w:t>
            </w:r>
          </w:p>
        </w:tc>
        <w:tc>
          <w:tcPr>
            <w:tcW w:w="1701"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Entrevista </w:t>
            </w:r>
            <w:proofErr w:type="spellStart"/>
            <w:r w:rsidRPr="001B3EA2">
              <w:rPr>
                <w:rFonts w:cs="Times New Roman"/>
                <w:color w:val="000000" w:themeColor="text1"/>
                <w:lang w:val="es-CO"/>
              </w:rPr>
              <w:t>semi</w:t>
            </w:r>
            <w:proofErr w:type="spellEnd"/>
            <w:r w:rsidRPr="001B3EA2">
              <w:rPr>
                <w:rFonts w:cs="Times New Roman"/>
                <w:color w:val="000000" w:themeColor="text1"/>
                <w:lang w:val="es-CO"/>
              </w:rPr>
              <w:t>-estructurada</w:t>
            </w:r>
          </w:p>
        </w:tc>
        <w:tc>
          <w:tcPr>
            <w:tcW w:w="3827"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Diseño de guía de entrevista.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Entrevista piloto.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Ajuste de guía de entrevista.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Entrevistas. </w:t>
            </w:r>
          </w:p>
          <w:p w:rsidR="00C903C4" w:rsidRDefault="00C903C4" w:rsidP="009561DB">
            <w:pPr>
              <w:jc w:val="both"/>
              <w:rPr>
                <w:rFonts w:cs="Times New Roman"/>
                <w:color w:val="000000" w:themeColor="text1"/>
                <w:lang w:val="es-CO"/>
              </w:rPr>
            </w:pPr>
            <w:r>
              <w:rPr>
                <w:rFonts w:cs="Times New Roman"/>
                <w:color w:val="000000" w:themeColor="text1"/>
                <w:lang w:val="es-CO"/>
              </w:rPr>
              <w:t>Sistematización.</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Codificación.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Interpretación.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Elaboración de artículo científico. </w:t>
            </w:r>
          </w:p>
        </w:tc>
      </w:tr>
      <w:tr w:rsidR="00C903C4" w:rsidRPr="001B3EA2" w:rsidTr="002410E7">
        <w:tc>
          <w:tcPr>
            <w:tcW w:w="1526" w:type="dxa"/>
            <w:vMerge/>
          </w:tcPr>
          <w:p w:rsidR="00C903C4" w:rsidRPr="001B3EA2" w:rsidRDefault="00C903C4" w:rsidP="009561DB">
            <w:pPr>
              <w:jc w:val="both"/>
              <w:rPr>
                <w:rFonts w:cs="Times New Roman"/>
                <w:color w:val="000000" w:themeColor="text1"/>
                <w:lang w:val="es-CO"/>
              </w:rPr>
            </w:pPr>
          </w:p>
        </w:tc>
        <w:tc>
          <w:tcPr>
            <w:tcW w:w="1559" w:type="dxa"/>
            <w:vMerge/>
          </w:tcPr>
          <w:p w:rsidR="00C903C4" w:rsidRPr="001B3EA2" w:rsidRDefault="00C903C4" w:rsidP="009561DB">
            <w:pPr>
              <w:jc w:val="both"/>
              <w:rPr>
                <w:rFonts w:cs="Times New Roman"/>
                <w:color w:val="000000" w:themeColor="text1"/>
                <w:lang w:val="es-CO"/>
              </w:rPr>
            </w:pPr>
          </w:p>
        </w:tc>
        <w:tc>
          <w:tcPr>
            <w:tcW w:w="1843"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Informes oficiales del Concejo de Medellín; artículos de prensa relacionados con el tema. </w:t>
            </w:r>
          </w:p>
        </w:tc>
        <w:tc>
          <w:tcPr>
            <w:tcW w:w="2410"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Censal / intencional: </w:t>
            </w:r>
          </w:p>
          <w:p w:rsidR="00C903C4" w:rsidRPr="001B3EA2" w:rsidRDefault="00C903C4" w:rsidP="009561DB">
            <w:pPr>
              <w:jc w:val="both"/>
              <w:rPr>
                <w:rFonts w:cs="Times New Roman"/>
                <w:i/>
                <w:color w:val="000000" w:themeColor="text1"/>
                <w:lang w:val="es-CO"/>
              </w:rPr>
            </w:pPr>
            <w:r w:rsidRPr="001B3EA2">
              <w:rPr>
                <w:rFonts w:cs="Times New Roman"/>
                <w:color w:val="000000" w:themeColor="text1"/>
                <w:lang w:val="es-CO"/>
              </w:rPr>
              <w:t xml:space="preserve">Informes producidos desde la apertura hasta el cierre del debate sobre la venta de Une-EPM; artículos producidos durante el mismo periodo en el periódico </w:t>
            </w:r>
            <w:r w:rsidRPr="001B3EA2">
              <w:rPr>
                <w:rFonts w:cs="Times New Roman"/>
                <w:i/>
                <w:color w:val="000000" w:themeColor="text1"/>
                <w:lang w:val="es-CO"/>
              </w:rPr>
              <w:t xml:space="preserve">El colombiano. </w:t>
            </w:r>
          </w:p>
        </w:tc>
        <w:tc>
          <w:tcPr>
            <w:tcW w:w="1701"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Revisión documental</w:t>
            </w:r>
          </w:p>
        </w:tc>
        <w:tc>
          <w:tcPr>
            <w:tcW w:w="3827" w:type="dxa"/>
          </w:tcPr>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Identificación de documentos y artículos disponibles.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Elaboración de guía de análisis documental.</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Revisión sistematizada de documentos.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Codificación e interpretación. </w:t>
            </w:r>
          </w:p>
          <w:p w:rsidR="00C903C4" w:rsidRPr="001B3EA2" w:rsidRDefault="00C903C4" w:rsidP="009561DB">
            <w:pPr>
              <w:jc w:val="both"/>
              <w:rPr>
                <w:rFonts w:cs="Times New Roman"/>
                <w:color w:val="000000" w:themeColor="text1"/>
                <w:lang w:val="es-CO"/>
              </w:rPr>
            </w:pPr>
            <w:r w:rsidRPr="001B3EA2">
              <w:rPr>
                <w:rFonts w:cs="Times New Roman"/>
                <w:color w:val="000000" w:themeColor="text1"/>
                <w:lang w:val="es-CO"/>
              </w:rPr>
              <w:t xml:space="preserve">Informe preliminar. </w:t>
            </w:r>
          </w:p>
        </w:tc>
      </w:tr>
      <w:tr w:rsidR="001B3EA2" w:rsidRPr="00993183" w:rsidTr="002410E7">
        <w:tc>
          <w:tcPr>
            <w:tcW w:w="1526" w:type="dxa"/>
          </w:tcPr>
          <w:p w:rsidR="000C4EB0" w:rsidRPr="001B3EA2" w:rsidRDefault="000C4EB0" w:rsidP="009561DB">
            <w:pPr>
              <w:rPr>
                <w:rFonts w:cs="Times New Roman"/>
                <w:color w:val="000000" w:themeColor="text1"/>
                <w:lang w:val="es-CO"/>
              </w:rPr>
            </w:pPr>
            <w:r w:rsidRPr="001B3EA2">
              <w:rPr>
                <w:rFonts w:cs="Times New Roman"/>
                <w:b/>
                <w:color w:val="000000" w:themeColor="text1"/>
                <w:lang w:val="es-CO"/>
              </w:rPr>
              <w:lastRenderedPageBreak/>
              <w:t>II. Prescripción final</w:t>
            </w:r>
          </w:p>
        </w:tc>
        <w:tc>
          <w:tcPr>
            <w:tcW w:w="1559" w:type="dxa"/>
          </w:tcPr>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Se definen de forma deductivo-inductiva al final de la investigación</w:t>
            </w:r>
          </w:p>
        </w:tc>
        <w:tc>
          <w:tcPr>
            <w:tcW w:w="1843" w:type="dxa"/>
          </w:tcPr>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Todas las anteriores</w:t>
            </w:r>
          </w:p>
        </w:tc>
        <w:tc>
          <w:tcPr>
            <w:tcW w:w="2410" w:type="dxa"/>
          </w:tcPr>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Todas las anteriores</w:t>
            </w:r>
          </w:p>
        </w:tc>
        <w:tc>
          <w:tcPr>
            <w:tcW w:w="1701" w:type="dxa"/>
          </w:tcPr>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Triangulación de la información /</w:t>
            </w:r>
          </w:p>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Convergencia</w:t>
            </w:r>
          </w:p>
          <w:p w:rsidR="000C4EB0" w:rsidRPr="001B3EA2" w:rsidRDefault="000C4EB0" w:rsidP="009561DB">
            <w:pPr>
              <w:jc w:val="both"/>
              <w:rPr>
                <w:rFonts w:cs="Times New Roman"/>
                <w:color w:val="000000" w:themeColor="text1"/>
                <w:lang w:val="es-CO"/>
              </w:rPr>
            </w:pPr>
          </w:p>
          <w:p w:rsidR="000C4EB0" w:rsidRPr="001B3EA2" w:rsidRDefault="000C4EB0" w:rsidP="009561DB">
            <w:pPr>
              <w:jc w:val="both"/>
              <w:rPr>
                <w:rFonts w:cs="Times New Roman"/>
                <w:color w:val="000000" w:themeColor="text1"/>
                <w:lang w:val="es-CO"/>
              </w:rPr>
            </w:pPr>
          </w:p>
          <w:p w:rsidR="000C4EB0" w:rsidRPr="001B3EA2" w:rsidRDefault="000C4EB0" w:rsidP="009561DB">
            <w:pPr>
              <w:jc w:val="both"/>
              <w:rPr>
                <w:rFonts w:cs="Times New Roman"/>
                <w:color w:val="000000" w:themeColor="text1"/>
                <w:lang w:val="es-CO"/>
              </w:rPr>
            </w:pPr>
          </w:p>
          <w:p w:rsidR="000C4EB0" w:rsidRPr="001B3EA2" w:rsidRDefault="000C4EB0" w:rsidP="009561DB">
            <w:pPr>
              <w:jc w:val="both"/>
              <w:rPr>
                <w:rFonts w:cs="Times New Roman"/>
                <w:color w:val="000000" w:themeColor="text1"/>
                <w:lang w:val="es-CO"/>
              </w:rPr>
            </w:pPr>
          </w:p>
        </w:tc>
        <w:tc>
          <w:tcPr>
            <w:tcW w:w="3827" w:type="dxa"/>
          </w:tcPr>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 xml:space="preserve">Diseño de esquema de triangulación y convergencia de la información. </w:t>
            </w:r>
          </w:p>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 xml:space="preserve">Sistematización del diseño. </w:t>
            </w:r>
          </w:p>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 xml:space="preserve">Alimentación del diseño con registros digitales de las fases anteriores. </w:t>
            </w:r>
          </w:p>
          <w:p w:rsidR="000C4EB0" w:rsidRPr="001B3EA2" w:rsidRDefault="000C4EB0" w:rsidP="009561DB">
            <w:pPr>
              <w:jc w:val="both"/>
              <w:rPr>
                <w:rFonts w:cs="Times New Roman"/>
                <w:color w:val="000000" w:themeColor="text1"/>
                <w:lang w:val="es-CO"/>
              </w:rPr>
            </w:pPr>
            <w:r w:rsidRPr="001B3EA2">
              <w:rPr>
                <w:rFonts w:cs="Times New Roman"/>
                <w:color w:val="000000" w:themeColor="text1"/>
                <w:lang w:val="es-CO"/>
              </w:rPr>
              <w:t xml:space="preserve">Interpretación. </w:t>
            </w:r>
          </w:p>
          <w:p w:rsidR="000C4EB0" w:rsidRPr="001B3EA2" w:rsidRDefault="00400D8D" w:rsidP="009561DB">
            <w:pPr>
              <w:jc w:val="both"/>
              <w:rPr>
                <w:rFonts w:cs="Times New Roman"/>
                <w:color w:val="000000" w:themeColor="text1"/>
                <w:lang w:val="es-CO"/>
              </w:rPr>
            </w:pPr>
            <w:r>
              <w:rPr>
                <w:rFonts w:cs="Times New Roman"/>
                <w:color w:val="000000" w:themeColor="text1"/>
                <w:lang w:val="es-CO"/>
              </w:rPr>
              <w:t xml:space="preserve">Elaboración de informe final. </w:t>
            </w:r>
          </w:p>
        </w:tc>
      </w:tr>
    </w:tbl>
    <w:p w:rsidR="000C4EB0" w:rsidRPr="001B3EA2" w:rsidRDefault="000C4EB0" w:rsidP="009561DB">
      <w:pPr>
        <w:ind w:right="113"/>
        <w:jc w:val="both"/>
        <w:rPr>
          <w:rFonts w:cs="Times New Roman"/>
          <w:color w:val="000000" w:themeColor="text1"/>
          <w:lang w:val="es-CO"/>
        </w:rPr>
        <w:sectPr w:rsidR="000C4EB0" w:rsidRPr="001B3EA2" w:rsidSect="000C4EB0">
          <w:pgSz w:w="15840" w:h="12240" w:orient="landscape" w:code="122"/>
          <w:pgMar w:top="1701" w:right="1418" w:bottom="1701" w:left="1418" w:header="709" w:footer="709" w:gutter="0"/>
          <w:cols w:space="708"/>
          <w:docGrid w:linePitch="360"/>
        </w:sectPr>
      </w:pPr>
    </w:p>
    <w:p w:rsidR="00AF0111" w:rsidRPr="001B3EA2" w:rsidRDefault="00AF0111" w:rsidP="009561DB">
      <w:pPr>
        <w:spacing w:after="0"/>
        <w:jc w:val="both"/>
        <w:rPr>
          <w:rFonts w:cs="Times New Roman"/>
          <w:color w:val="000000" w:themeColor="text1"/>
          <w:lang w:val="es-CO"/>
        </w:rPr>
      </w:pPr>
      <w:r w:rsidRPr="001B3EA2">
        <w:rPr>
          <w:rFonts w:cs="Times New Roman"/>
          <w:color w:val="000000" w:themeColor="text1"/>
          <w:lang w:val="es-CO"/>
        </w:rPr>
        <w:lastRenderedPageBreak/>
        <w:t>La capacidad de abarcar fenómenos sociales en su complejidad y especificidad, si bien es la fortaleza de los estudios de caso, también supone el riesgo de un posible exceso de información. Yin (2003) sugiere afrontar este riesgo mediante la búsqueda de con</w:t>
      </w:r>
      <w:r w:rsidR="00FE0540" w:rsidRPr="001B3EA2">
        <w:rPr>
          <w:rFonts w:cs="Times New Roman"/>
          <w:color w:val="000000" w:themeColor="text1"/>
          <w:lang w:val="es-CO"/>
        </w:rPr>
        <w:t>vergencia en</w:t>
      </w:r>
      <w:r w:rsidRPr="001B3EA2">
        <w:rPr>
          <w:rFonts w:cs="Times New Roman"/>
          <w:color w:val="000000" w:themeColor="text1"/>
          <w:lang w:val="es-CO"/>
        </w:rPr>
        <w:t xml:space="preserve"> </w:t>
      </w:r>
      <w:r w:rsidR="00EF471A">
        <w:rPr>
          <w:rFonts w:cs="Times New Roman"/>
          <w:color w:val="000000" w:themeColor="text1"/>
          <w:lang w:val="es-CO"/>
        </w:rPr>
        <w:t>el</w:t>
      </w:r>
      <w:r w:rsidR="00FE0540" w:rsidRPr="001B3EA2">
        <w:rPr>
          <w:rFonts w:cs="Times New Roman"/>
          <w:color w:val="000000" w:themeColor="text1"/>
          <w:lang w:val="es-CO"/>
        </w:rPr>
        <w:t xml:space="preserve"> análisis</w:t>
      </w:r>
      <w:r w:rsidR="00EF471A">
        <w:rPr>
          <w:rFonts w:cs="Times New Roman"/>
          <w:color w:val="000000" w:themeColor="text1"/>
          <w:lang w:val="es-CO"/>
        </w:rPr>
        <w:t xml:space="preserve"> y la presentación de la información</w:t>
      </w:r>
      <w:r w:rsidRPr="001B3EA2">
        <w:rPr>
          <w:rFonts w:cs="Times New Roman"/>
          <w:color w:val="000000" w:themeColor="text1"/>
          <w:lang w:val="es-CO"/>
        </w:rPr>
        <w:t>. En el caso de la presente investigación, tal convergencia se procura no sólo a través del esquema de triangulación contemplado en la tercera fase, sino también por medio de la se</w:t>
      </w:r>
      <w:r w:rsidR="005F0869">
        <w:rPr>
          <w:rFonts w:cs="Times New Roman"/>
          <w:color w:val="000000" w:themeColor="text1"/>
          <w:lang w:val="es-CO"/>
        </w:rPr>
        <w:t>lección del Concejo de Medellín</w:t>
      </w:r>
      <w:r w:rsidRPr="001B3EA2">
        <w:rPr>
          <w:rFonts w:cs="Times New Roman"/>
          <w:color w:val="000000" w:themeColor="text1"/>
          <w:lang w:val="es-CO"/>
        </w:rPr>
        <w:t xml:space="preserve"> </w:t>
      </w:r>
      <w:r w:rsidR="005F0869">
        <w:rPr>
          <w:rFonts w:cs="Times New Roman"/>
          <w:color w:val="000000" w:themeColor="text1"/>
          <w:lang w:val="es-CO"/>
        </w:rPr>
        <w:t>(organización con</w:t>
      </w:r>
      <w:r w:rsidRPr="001B3EA2">
        <w:rPr>
          <w:rFonts w:cs="Times New Roman"/>
          <w:color w:val="000000" w:themeColor="text1"/>
          <w:lang w:val="es-CO"/>
        </w:rPr>
        <w:t xml:space="preserve"> poder decisorio </w:t>
      </w:r>
      <w:r w:rsidR="005F0869">
        <w:rPr>
          <w:rFonts w:cs="Times New Roman"/>
          <w:color w:val="000000" w:themeColor="text1"/>
          <w:lang w:val="es-CO"/>
        </w:rPr>
        <w:t>central en</w:t>
      </w:r>
      <w:r w:rsidRPr="001B3EA2">
        <w:rPr>
          <w:rFonts w:cs="Times New Roman"/>
          <w:color w:val="000000" w:themeColor="text1"/>
          <w:lang w:val="es-CO"/>
        </w:rPr>
        <w:t xml:space="preserve"> la responsabilidad social de EPM</w:t>
      </w:r>
      <w:r w:rsidR="005F0869">
        <w:rPr>
          <w:rFonts w:cs="Times New Roman"/>
          <w:color w:val="000000" w:themeColor="text1"/>
          <w:lang w:val="es-CO"/>
        </w:rPr>
        <w:t>) como conjunto</w:t>
      </w:r>
      <w:r w:rsidRPr="001B3EA2">
        <w:rPr>
          <w:rFonts w:cs="Times New Roman"/>
          <w:color w:val="000000" w:themeColor="text1"/>
          <w:lang w:val="es-CO"/>
        </w:rPr>
        <w:t xml:space="preserve"> eje</w:t>
      </w:r>
      <w:r w:rsidR="00ED1E86">
        <w:rPr>
          <w:rFonts w:cs="Times New Roman"/>
          <w:color w:val="000000" w:themeColor="text1"/>
          <w:lang w:val="es-CO"/>
        </w:rPr>
        <w:t xml:space="preserve"> empírico</w:t>
      </w:r>
      <w:r w:rsidRPr="001B3EA2">
        <w:rPr>
          <w:rFonts w:cs="Times New Roman"/>
          <w:color w:val="000000" w:themeColor="text1"/>
          <w:lang w:val="es-CO"/>
        </w:rPr>
        <w:t xml:space="preserve"> de la investigación. Ello no implica desconocer el papel que juegan otros actores como el sector privado, los sindicatos, las ONG, los medios de comunicación,</w:t>
      </w:r>
      <w:r w:rsidR="00F81FFD">
        <w:rPr>
          <w:rFonts w:cs="Times New Roman"/>
          <w:color w:val="000000" w:themeColor="text1"/>
          <w:lang w:val="es-CO"/>
        </w:rPr>
        <w:t xml:space="preserve"> la academia,</w:t>
      </w:r>
      <w:r w:rsidRPr="001B3EA2">
        <w:rPr>
          <w:rFonts w:cs="Times New Roman"/>
          <w:color w:val="000000" w:themeColor="text1"/>
          <w:lang w:val="es-CO"/>
        </w:rPr>
        <w:t xml:space="preserve"> </w:t>
      </w:r>
      <w:r w:rsidR="00F81FFD">
        <w:rPr>
          <w:rFonts w:cs="Times New Roman"/>
          <w:color w:val="000000" w:themeColor="text1"/>
          <w:lang w:val="es-CO"/>
        </w:rPr>
        <w:t xml:space="preserve">los </w:t>
      </w:r>
      <w:r w:rsidRPr="001B3EA2">
        <w:rPr>
          <w:rFonts w:cs="Times New Roman"/>
          <w:color w:val="000000" w:themeColor="text1"/>
          <w:lang w:val="es-CO"/>
        </w:rPr>
        <w:t xml:space="preserve">funcionarios de EPM y del gobierno municipal; pero sí analizar, más que las voces directas de estos otros actores, la manera como los concejales expresan la presión o el apoyo que aquellos pueden significar dentro de la toma de decisiones morales y éticas alrededor de la responsabilidad social de EPM. </w:t>
      </w:r>
    </w:p>
    <w:p w:rsidR="00C84A1B" w:rsidRPr="001B3EA2" w:rsidRDefault="00C84A1B" w:rsidP="009561DB">
      <w:pPr>
        <w:spacing w:after="0"/>
        <w:jc w:val="both"/>
        <w:rPr>
          <w:rFonts w:cs="Times New Roman"/>
          <w:b/>
          <w:color w:val="000000" w:themeColor="text1"/>
          <w:lang w:val="es-CO"/>
        </w:rPr>
      </w:pPr>
    </w:p>
    <w:p w:rsidR="008B35A7" w:rsidRPr="001B3EA2" w:rsidRDefault="009E3F98" w:rsidP="009561DB">
      <w:pPr>
        <w:spacing w:after="0"/>
        <w:jc w:val="center"/>
        <w:rPr>
          <w:rFonts w:cs="Times New Roman"/>
          <w:b/>
          <w:color w:val="000000" w:themeColor="text1"/>
          <w:lang w:val="es-CO"/>
        </w:rPr>
      </w:pPr>
      <w:r w:rsidRPr="001B3EA2">
        <w:rPr>
          <w:rFonts w:cs="Times New Roman"/>
          <w:b/>
          <w:color w:val="000000" w:themeColor="text1"/>
          <w:lang w:val="es-CO"/>
        </w:rPr>
        <w:t>Resultados esperados</w:t>
      </w:r>
    </w:p>
    <w:p w:rsidR="009E3F98" w:rsidRPr="001B3EA2" w:rsidRDefault="009E3F98" w:rsidP="009561DB">
      <w:pPr>
        <w:pStyle w:val="Prrafodelista"/>
        <w:numPr>
          <w:ilvl w:val="0"/>
          <w:numId w:val="19"/>
        </w:numPr>
        <w:spacing w:after="0"/>
        <w:jc w:val="both"/>
        <w:rPr>
          <w:rFonts w:cs="Times New Roman"/>
          <w:color w:val="000000" w:themeColor="text1"/>
          <w:lang w:val="es-CO"/>
        </w:rPr>
      </w:pPr>
      <w:r w:rsidRPr="001B3EA2">
        <w:rPr>
          <w:rFonts w:cs="Times New Roman"/>
          <w:color w:val="000000" w:themeColor="text1"/>
          <w:lang w:val="es-CO"/>
        </w:rPr>
        <w:t>Un artículo de revisión</w:t>
      </w:r>
    </w:p>
    <w:p w:rsidR="009E3F98" w:rsidRPr="001B3EA2" w:rsidRDefault="009E3F98" w:rsidP="009561DB">
      <w:pPr>
        <w:pStyle w:val="Prrafodelista"/>
        <w:numPr>
          <w:ilvl w:val="0"/>
          <w:numId w:val="19"/>
        </w:numPr>
        <w:spacing w:after="0"/>
        <w:jc w:val="both"/>
        <w:rPr>
          <w:rFonts w:cs="Times New Roman"/>
          <w:color w:val="000000" w:themeColor="text1"/>
          <w:lang w:val="es-CO"/>
        </w:rPr>
      </w:pPr>
      <w:r w:rsidRPr="001B3EA2">
        <w:rPr>
          <w:rFonts w:cs="Times New Roman"/>
          <w:color w:val="000000" w:themeColor="text1"/>
          <w:lang w:val="es-CO"/>
        </w:rPr>
        <w:t>Un artículo de análisis de resultados</w:t>
      </w:r>
    </w:p>
    <w:p w:rsidR="009139BB" w:rsidRPr="001B3EA2" w:rsidRDefault="009139BB" w:rsidP="009561DB">
      <w:pPr>
        <w:pStyle w:val="Prrafodelista"/>
        <w:numPr>
          <w:ilvl w:val="0"/>
          <w:numId w:val="19"/>
        </w:numPr>
        <w:spacing w:after="0"/>
        <w:jc w:val="both"/>
        <w:rPr>
          <w:rFonts w:cs="Times New Roman"/>
          <w:color w:val="000000" w:themeColor="text1"/>
          <w:lang w:val="es-CO"/>
        </w:rPr>
      </w:pPr>
      <w:r w:rsidRPr="001B3EA2">
        <w:rPr>
          <w:rFonts w:cs="Times New Roman"/>
          <w:color w:val="000000" w:themeColor="text1"/>
          <w:lang w:val="es-CO"/>
        </w:rPr>
        <w:t>Un informe final</w:t>
      </w:r>
    </w:p>
    <w:p w:rsidR="009E3F98" w:rsidRPr="001B3EA2" w:rsidRDefault="009E3F98" w:rsidP="009561DB">
      <w:pPr>
        <w:pStyle w:val="Prrafodelista"/>
        <w:numPr>
          <w:ilvl w:val="0"/>
          <w:numId w:val="19"/>
        </w:numPr>
        <w:spacing w:after="0"/>
        <w:jc w:val="both"/>
        <w:rPr>
          <w:rFonts w:cs="Times New Roman"/>
          <w:color w:val="000000" w:themeColor="text1"/>
          <w:lang w:val="es-CO"/>
        </w:rPr>
      </w:pPr>
      <w:r w:rsidRPr="001B3EA2">
        <w:rPr>
          <w:rFonts w:cs="Times New Roman"/>
          <w:color w:val="000000" w:themeColor="text1"/>
          <w:lang w:val="es-CO"/>
        </w:rPr>
        <w:t>Insumos para la futura formulación de un modelo de investigación, docencia y consultoría ética en organizaciones interesadas en promover la responsabilidad social de empresas estatales</w:t>
      </w:r>
      <w:r w:rsidR="00751D49">
        <w:rPr>
          <w:rFonts w:cs="Times New Roman"/>
          <w:color w:val="000000" w:themeColor="text1"/>
          <w:lang w:val="es-CO"/>
        </w:rPr>
        <w:t xml:space="preserve"> desde un enfoque integral</w:t>
      </w:r>
      <w:r w:rsidRPr="001B3EA2">
        <w:rPr>
          <w:rFonts w:cs="Times New Roman"/>
          <w:color w:val="000000" w:themeColor="text1"/>
          <w:lang w:val="es-CO"/>
        </w:rPr>
        <w:t xml:space="preserve">. </w:t>
      </w:r>
    </w:p>
    <w:p w:rsidR="009E3F98" w:rsidRPr="001B3EA2" w:rsidRDefault="009E3F98" w:rsidP="009561DB">
      <w:pPr>
        <w:spacing w:after="0"/>
        <w:jc w:val="center"/>
        <w:rPr>
          <w:rFonts w:cs="Times New Roman"/>
          <w:b/>
          <w:color w:val="000000" w:themeColor="text1"/>
          <w:lang w:val="es-CO"/>
        </w:rPr>
      </w:pPr>
    </w:p>
    <w:p w:rsidR="00D425C9" w:rsidRDefault="00D425C9"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425C9" w:rsidRDefault="00D425C9" w:rsidP="009561DB">
      <w:pPr>
        <w:spacing w:after="0"/>
        <w:jc w:val="center"/>
        <w:rPr>
          <w:rFonts w:cs="Times New Roman"/>
          <w:b/>
          <w:color w:val="000000" w:themeColor="text1"/>
        </w:rPr>
      </w:pPr>
    </w:p>
    <w:p w:rsidR="00D13E13" w:rsidRDefault="00D13E13" w:rsidP="009561DB">
      <w:pPr>
        <w:spacing w:after="0"/>
        <w:jc w:val="center"/>
        <w:rPr>
          <w:rFonts w:cs="Times New Roman"/>
          <w:b/>
          <w:color w:val="000000" w:themeColor="text1"/>
        </w:rPr>
      </w:pPr>
    </w:p>
    <w:p w:rsidR="009561DB" w:rsidRDefault="009561DB" w:rsidP="009561DB">
      <w:pPr>
        <w:spacing w:after="0"/>
        <w:jc w:val="center"/>
        <w:rPr>
          <w:rFonts w:cs="Times New Roman"/>
          <w:b/>
          <w:color w:val="000000" w:themeColor="text1"/>
        </w:rPr>
      </w:pPr>
    </w:p>
    <w:p w:rsidR="0049467C" w:rsidRPr="001B3EA2" w:rsidRDefault="002E0C95" w:rsidP="009561DB">
      <w:pPr>
        <w:spacing w:after="0"/>
        <w:jc w:val="center"/>
        <w:rPr>
          <w:rFonts w:cs="Times New Roman"/>
          <w:b/>
          <w:color w:val="000000" w:themeColor="text1"/>
        </w:rPr>
      </w:pPr>
      <w:proofErr w:type="spellStart"/>
      <w:r w:rsidRPr="001B3EA2">
        <w:rPr>
          <w:rFonts w:cs="Times New Roman"/>
          <w:b/>
          <w:color w:val="000000" w:themeColor="text1"/>
        </w:rPr>
        <w:lastRenderedPageBreak/>
        <w:t>Referencias</w:t>
      </w:r>
      <w:proofErr w:type="spellEnd"/>
      <w:r w:rsidRPr="001B3EA2">
        <w:rPr>
          <w:rFonts w:cs="Times New Roman"/>
          <w:b/>
          <w:color w:val="000000" w:themeColor="text1"/>
        </w:rPr>
        <w:t xml:space="preserve"> </w:t>
      </w:r>
      <w:proofErr w:type="spellStart"/>
      <w:r w:rsidRPr="001B3EA2">
        <w:rPr>
          <w:rFonts w:cs="Times New Roman"/>
          <w:b/>
          <w:color w:val="000000" w:themeColor="text1"/>
        </w:rPr>
        <w:t>bibliográficas</w:t>
      </w:r>
      <w:proofErr w:type="spellEnd"/>
    </w:p>
    <w:p w:rsidR="009561DB" w:rsidRDefault="009561DB" w:rsidP="009561DB">
      <w:pPr>
        <w:pStyle w:val="NormalWeb"/>
        <w:spacing w:before="0" w:beforeAutospacing="0" w:after="0" w:afterAutospacing="0"/>
        <w:ind w:left="720" w:hanging="720"/>
        <w:jc w:val="both"/>
        <w:textAlignment w:val="baseline"/>
        <w:rPr>
          <w:color w:val="000000" w:themeColor="text1"/>
          <w:lang w:val="en-US"/>
        </w:rPr>
      </w:pPr>
    </w:p>
    <w:p w:rsidR="00452306" w:rsidRPr="001B3EA2" w:rsidRDefault="006505BD" w:rsidP="009561DB">
      <w:pPr>
        <w:pStyle w:val="NormalWeb"/>
        <w:spacing w:before="0" w:beforeAutospacing="0" w:after="0" w:afterAutospacing="0"/>
        <w:ind w:left="720" w:hanging="720"/>
        <w:jc w:val="both"/>
        <w:textAlignment w:val="baseline"/>
        <w:rPr>
          <w:color w:val="000000" w:themeColor="text1"/>
          <w:lang w:val="en-US"/>
        </w:rPr>
      </w:pPr>
      <w:r>
        <w:rPr>
          <w:color w:val="000000" w:themeColor="text1"/>
          <w:lang w:val="en-US"/>
        </w:rPr>
        <w:t xml:space="preserve">Ackerman, R. </w:t>
      </w:r>
      <w:r w:rsidR="00452306" w:rsidRPr="001B3EA2">
        <w:rPr>
          <w:color w:val="000000" w:themeColor="text1"/>
          <w:lang w:val="en-US"/>
        </w:rPr>
        <w:t>1973, ‘How Companies Respond to Social Demands’, Harvard University Review</w:t>
      </w:r>
      <w:r w:rsidR="005A22D7">
        <w:rPr>
          <w:color w:val="000000" w:themeColor="text1"/>
          <w:lang w:val="en-US"/>
        </w:rPr>
        <w:t>,</w:t>
      </w:r>
      <w:r w:rsidR="00452306" w:rsidRPr="001B3EA2">
        <w:rPr>
          <w:color w:val="000000" w:themeColor="text1"/>
          <w:lang w:val="en-US"/>
        </w:rPr>
        <w:t xml:space="preserve"> 51(4), 88–98.</w:t>
      </w:r>
    </w:p>
    <w:p w:rsidR="00315BC2" w:rsidRPr="001B3EA2" w:rsidRDefault="00C53A57" w:rsidP="009561DB">
      <w:pPr>
        <w:spacing w:after="0"/>
        <w:ind w:left="709" w:hanging="709"/>
        <w:jc w:val="both"/>
        <w:rPr>
          <w:rFonts w:cs="Times New Roman"/>
          <w:color w:val="000000" w:themeColor="text1"/>
          <w:shd w:val="clear" w:color="auto" w:fill="FFFFFF"/>
        </w:rPr>
      </w:pPr>
      <w:r>
        <w:rPr>
          <w:rFonts w:cs="Times New Roman"/>
          <w:color w:val="000000" w:themeColor="text1"/>
          <w:shd w:val="clear" w:color="auto" w:fill="FFFFFF"/>
        </w:rPr>
        <w:t xml:space="preserve">Allison, G. &amp; </w:t>
      </w:r>
      <w:proofErr w:type="spellStart"/>
      <w:r>
        <w:rPr>
          <w:rFonts w:cs="Times New Roman"/>
          <w:color w:val="000000" w:themeColor="text1"/>
          <w:shd w:val="clear" w:color="auto" w:fill="FFFFFF"/>
        </w:rPr>
        <w:t>Zelikow</w:t>
      </w:r>
      <w:proofErr w:type="spellEnd"/>
      <w:r>
        <w:rPr>
          <w:rFonts w:cs="Times New Roman"/>
          <w:color w:val="000000" w:themeColor="text1"/>
          <w:shd w:val="clear" w:color="auto" w:fill="FFFFFF"/>
        </w:rPr>
        <w:t>, P. 1999</w:t>
      </w:r>
      <w:r w:rsidR="00315BC2" w:rsidRPr="001B3EA2">
        <w:rPr>
          <w:rFonts w:cs="Times New Roman"/>
          <w:color w:val="000000" w:themeColor="text1"/>
          <w:shd w:val="clear" w:color="auto" w:fill="FFFFFF"/>
        </w:rPr>
        <w:t>.</w:t>
      </w:r>
      <w:r w:rsidR="00315BC2" w:rsidRPr="001B3EA2">
        <w:rPr>
          <w:rStyle w:val="apple-converted-space"/>
          <w:rFonts w:cs="Times New Roman"/>
          <w:color w:val="000000" w:themeColor="text1"/>
          <w:shd w:val="clear" w:color="auto" w:fill="FFFFFF"/>
        </w:rPr>
        <w:t> </w:t>
      </w:r>
      <w:r w:rsidR="00315BC2" w:rsidRPr="00C53A57">
        <w:rPr>
          <w:rFonts w:cs="Times New Roman"/>
          <w:iCs/>
          <w:color w:val="000000" w:themeColor="text1"/>
          <w:shd w:val="clear" w:color="auto" w:fill="FFFFFF"/>
        </w:rPr>
        <w:t>Essence of Decision: Explaining the Cuban Missile Crisis, 2ed</w:t>
      </w:r>
      <w:r w:rsidR="00315BC2" w:rsidRPr="00C53A57">
        <w:rPr>
          <w:rFonts w:cs="Times New Roman"/>
          <w:color w:val="000000" w:themeColor="text1"/>
          <w:shd w:val="clear" w:color="auto" w:fill="FFFFFF"/>
        </w:rPr>
        <w:t>. Longman.</w:t>
      </w:r>
    </w:p>
    <w:p w:rsidR="00452306" w:rsidRPr="006505BD" w:rsidRDefault="006505BD" w:rsidP="009561DB">
      <w:pPr>
        <w:pStyle w:val="Textonotapie"/>
        <w:ind w:left="709" w:hanging="709"/>
        <w:jc w:val="both"/>
        <w:rPr>
          <w:rFonts w:ascii="Times New Roman" w:hAnsi="Times New Roman" w:cs="Times New Roman"/>
          <w:color w:val="000000" w:themeColor="text1"/>
          <w:sz w:val="24"/>
          <w:szCs w:val="24"/>
          <w:lang w:val="en-US"/>
        </w:rPr>
      </w:pPr>
      <w:proofErr w:type="spellStart"/>
      <w:proofErr w:type="gramStart"/>
      <w:r w:rsidRPr="006505BD">
        <w:rPr>
          <w:rFonts w:ascii="Times New Roman" w:hAnsi="Times New Roman" w:cs="Times New Roman"/>
          <w:color w:val="000000" w:themeColor="text1"/>
          <w:sz w:val="24"/>
          <w:szCs w:val="24"/>
          <w:lang w:val="en-US"/>
        </w:rPr>
        <w:t>Aristóteles</w:t>
      </w:r>
      <w:proofErr w:type="spellEnd"/>
      <w:r w:rsidRPr="006505BD">
        <w:rPr>
          <w:rFonts w:ascii="Times New Roman" w:hAnsi="Times New Roman" w:cs="Times New Roman"/>
          <w:color w:val="000000" w:themeColor="text1"/>
          <w:sz w:val="24"/>
          <w:szCs w:val="24"/>
          <w:lang w:val="en-US"/>
        </w:rPr>
        <w:t>.</w:t>
      </w:r>
      <w:proofErr w:type="gramEnd"/>
      <w:r w:rsidRPr="006505BD">
        <w:rPr>
          <w:rFonts w:ascii="Times New Roman" w:hAnsi="Times New Roman" w:cs="Times New Roman"/>
          <w:color w:val="000000" w:themeColor="text1"/>
          <w:sz w:val="24"/>
          <w:szCs w:val="24"/>
          <w:lang w:val="en-US"/>
        </w:rPr>
        <w:t xml:space="preserve"> 1995</w:t>
      </w:r>
      <w:r w:rsidR="00452306" w:rsidRPr="006505BD">
        <w:rPr>
          <w:rFonts w:ascii="Times New Roman" w:hAnsi="Times New Roman" w:cs="Times New Roman"/>
          <w:color w:val="000000" w:themeColor="text1"/>
          <w:sz w:val="24"/>
          <w:szCs w:val="24"/>
          <w:lang w:val="en-US"/>
        </w:rPr>
        <w:t xml:space="preserve">. </w:t>
      </w:r>
      <w:proofErr w:type="spellStart"/>
      <w:r w:rsidR="00452306" w:rsidRPr="006505BD">
        <w:rPr>
          <w:rFonts w:ascii="Times New Roman" w:hAnsi="Times New Roman" w:cs="Times New Roman"/>
          <w:color w:val="000000" w:themeColor="text1"/>
          <w:sz w:val="24"/>
          <w:szCs w:val="24"/>
          <w:lang w:val="en-US"/>
        </w:rPr>
        <w:t>Ética</w:t>
      </w:r>
      <w:proofErr w:type="spellEnd"/>
      <w:r w:rsidR="00452306" w:rsidRPr="006505BD">
        <w:rPr>
          <w:rFonts w:ascii="Times New Roman" w:hAnsi="Times New Roman" w:cs="Times New Roman"/>
          <w:color w:val="000000" w:themeColor="text1"/>
          <w:sz w:val="24"/>
          <w:szCs w:val="24"/>
          <w:lang w:val="en-US"/>
        </w:rPr>
        <w:t xml:space="preserve"> </w:t>
      </w:r>
      <w:proofErr w:type="spellStart"/>
      <w:r w:rsidR="00452306" w:rsidRPr="006505BD">
        <w:rPr>
          <w:rFonts w:ascii="Times New Roman" w:hAnsi="Times New Roman" w:cs="Times New Roman"/>
          <w:color w:val="000000" w:themeColor="text1"/>
          <w:sz w:val="24"/>
          <w:szCs w:val="24"/>
          <w:lang w:val="en-US"/>
        </w:rPr>
        <w:t>nicomaquea</w:t>
      </w:r>
      <w:proofErr w:type="spellEnd"/>
      <w:r w:rsidR="00452306" w:rsidRPr="006505BD">
        <w:rPr>
          <w:rFonts w:ascii="Times New Roman" w:hAnsi="Times New Roman" w:cs="Times New Roman"/>
          <w:color w:val="000000" w:themeColor="text1"/>
          <w:sz w:val="24"/>
          <w:szCs w:val="24"/>
          <w:lang w:val="en-US"/>
        </w:rPr>
        <w:t xml:space="preserve">. Madrid: </w:t>
      </w:r>
      <w:proofErr w:type="spellStart"/>
      <w:r w:rsidR="00452306" w:rsidRPr="006505BD">
        <w:rPr>
          <w:rFonts w:ascii="Times New Roman" w:hAnsi="Times New Roman" w:cs="Times New Roman"/>
          <w:color w:val="000000" w:themeColor="text1"/>
          <w:sz w:val="24"/>
          <w:szCs w:val="24"/>
          <w:lang w:val="en-US"/>
        </w:rPr>
        <w:t>Gredos</w:t>
      </w:r>
      <w:proofErr w:type="spellEnd"/>
      <w:r w:rsidR="00452306" w:rsidRPr="006505BD">
        <w:rPr>
          <w:rFonts w:ascii="Times New Roman" w:hAnsi="Times New Roman" w:cs="Times New Roman"/>
          <w:color w:val="000000" w:themeColor="text1"/>
          <w:sz w:val="24"/>
          <w:szCs w:val="24"/>
          <w:lang w:val="en-US"/>
        </w:rPr>
        <w:t xml:space="preserve">. </w:t>
      </w:r>
    </w:p>
    <w:p w:rsidR="006505BD" w:rsidRPr="00FC43B5" w:rsidRDefault="006505BD" w:rsidP="006505BD">
      <w:pPr>
        <w:pStyle w:val="Textonotapie"/>
        <w:ind w:left="709" w:hanging="709"/>
        <w:jc w:val="both"/>
        <w:rPr>
          <w:rFonts w:ascii="Times New Roman" w:hAnsi="Times New Roman" w:cs="Times New Roman"/>
          <w:sz w:val="24"/>
          <w:szCs w:val="24"/>
          <w:lang w:val="en-US"/>
        </w:rPr>
      </w:pPr>
      <w:r w:rsidRPr="00FC43B5">
        <w:rPr>
          <w:rFonts w:ascii="Times New Roman" w:hAnsi="Times New Roman" w:cs="Times New Roman"/>
          <w:sz w:val="24"/>
          <w:szCs w:val="24"/>
          <w:lang w:val="en-US"/>
        </w:rPr>
        <w:t xml:space="preserve">Ashdown, J. 1979. </w:t>
      </w:r>
      <w:r w:rsidR="00C53A57">
        <w:rPr>
          <w:rFonts w:ascii="Times New Roman" w:hAnsi="Times New Roman" w:cs="Times New Roman"/>
          <w:sz w:val="24"/>
          <w:szCs w:val="24"/>
          <w:lang w:val="en-US"/>
        </w:rPr>
        <w:t>‘</w:t>
      </w:r>
      <w:r w:rsidRPr="00FC43B5">
        <w:rPr>
          <w:rFonts w:ascii="Times New Roman" w:hAnsi="Times New Roman" w:cs="Times New Roman"/>
          <w:sz w:val="24"/>
          <w:szCs w:val="24"/>
          <w:lang w:val="en-US"/>
        </w:rPr>
        <w:t>South Korea: The Entrepreneurial State</w:t>
      </w:r>
      <w:r w:rsidR="00C53A57">
        <w:rPr>
          <w:rFonts w:ascii="Times New Roman" w:hAnsi="Times New Roman" w:cs="Times New Roman"/>
          <w:sz w:val="24"/>
          <w:szCs w:val="24"/>
          <w:lang w:val="en-US"/>
        </w:rPr>
        <w:t>’</w:t>
      </w:r>
      <w:r w:rsidRPr="00FC43B5">
        <w:rPr>
          <w:rFonts w:ascii="Times New Roman" w:hAnsi="Times New Roman" w:cs="Times New Roman"/>
          <w:sz w:val="24"/>
          <w:szCs w:val="24"/>
          <w:lang w:val="en-US"/>
        </w:rPr>
        <w:t>. Economic and Political Weekly, 14 (11),</w:t>
      </w:r>
      <w:r>
        <w:rPr>
          <w:rFonts w:ascii="Times New Roman" w:hAnsi="Times New Roman" w:cs="Times New Roman"/>
          <w:sz w:val="24"/>
          <w:szCs w:val="24"/>
          <w:lang w:val="en-US"/>
        </w:rPr>
        <w:t xml:space="preserve"> </w:t>
      </w:r>
      <w:r w:rsidRPr="00FC43B5">
        <w:rPr>
          <w:rFonts w:ascii="Times New Roman" w:hAnsi="Times New Roman" w:cs="Times New Roman"/>
          <w:sz w:val="24"/>
          <w:szCs w:val="24"/>
          <w:lang w:val="en-US"/>
        </w:rPr>
        <w:t>586-588</w:t>
      </w:r>
      <w:r>
        <w:rPr>
          <w:rFonts w:ascii="Times New Roman" w:hAnsi="Times New Roman" w:cs="Times New Roman"/>
          <w:sz w:val="24"/>
          <w:szCs w:val="24"/>
          <w:lang w:val="en-US"/>
        </w:rPr>
        <w:t xml:space="preserve">. </w:t>
      </w:r>
    </w:p>
    <w:p w:rsidR="00452306" w:rsidRPr="001B3EA2" w:rsidRDefault="00C53A57" w:rsidP="009561DB">
      <w:pPr>
        <w:autoSpaceDE w:val="0"/>
        <w:autoSpaceDN w:val="0"/>
        <w:adjustRightInd w:val="0"/>
        <w:spacing w:after="0"/>
        <w:ind w:left="709" w:hanging="709"/>
        <w:rPr>
          <w:rFonts w:cs="Times New Roman"/>
          <w:color w:val="000000" w:themeColor="text1"/>
        </w:rPr>
      </w:pPr>
      <w:proofErr w:type="spellStart"/>
      <w:r>
        <w:rPr>
          <w:rFonts w:cs="Times New Roman"/>
          <w:color w:val="000000" w:themeColor="text1"/>
          <w:lang w:val="es-CO"/>
        </w:rPr>
        <w:t>Bento</w:t>
      </w:r>
      <w:proofErr w:type="spellEnd"/>
      <w:r>
        <w:rPr>
          <w:rFonts w:cs="Times New Roman"/>
          <w:color w:val="000000" w:themeColor="text1"/>
          <w:lang w:val="es-CO"/>
        </w:rPr>
        <w:t>, L. 2009</w:t>
      </w:r>
      <w:r w:rsidR="00452306" w:rsidRPr="001B3EA2">
        <w:rPr>
          <w:rFonts w:cs="Times New Roman"/>
          <w:color w:val="000000" w:themeColor="text1"/>
          <w:lang w:val="es-CO"/>
        </w:rPr>
        <w:t>. De la CSR-</w:t>
      </w:r>
      <w:proofErr w:type="spellStart"/>
      <w:r w:rsidR="00452306" w:rsidRPr="001B3EA2">
        <w:rPr>
          <w:rFonts w:cs="Times New Roman"/>
          <w:color w:val="000000" w:themeColor="text1"/>
          <w:lang w:val="es-CO"/>
        </w:rPr>
        <w:t>Corporate</w:t>
      </w:r>
      <w:proofErr w:type="spellEnd"/>
      <w:r w:rsidR="00452306" w:rsidRPr="001B3EA2">
        <w:rPr>
          <w:rFonts w:cs="Times New Roman"/>
          <w:color w:val="000000" w:themeColor="text1"/>
          <w:lang w:val="es-CO"/>
        </w:rPr>
        <w:t xml:space="preserve"> Social </w:t>
      </w:r>
      <w:proofErr w:type="spellStart"/>
      <w:r w:rsidR="00452306" w:rsidRPr="001B3EA2">
        <w:rPr>
          <w:rFonts w:cs="Times New Roman"/>
          <w:color w:val="000000" w:themeColor="text1"/>
          <w:lang w:val="es-CO"/>
        </w:rPr>
        <w:t>Responsability</w:t>
      </w:r>
      <w:proofErr w:type="spellEnd"/>
      <w:r w:rsidR="00452306" w:rsidRPr="001B3EA2">
        <w:rPr>
          <w:rFonts w:cs="Times New Roman"/>
          <w:color w:val="000000" w:themeColor="text1"/>
          <w:lang w:val="es-CO"/>
        </w:rPr>
        <w:t xml:space="preserve"> à la RSO-</w:t>
      </w:r>
      <w:proofErr w:type="spellStart"/>
      <w:r w:rsidR="00452306" w:rsidRPr="001B3EA2">
        <w:rPr>
          <w:rFonts w:cs="Times New Roman"/>
          <w:color w:val="000000" w:themeColor="text1"/>
          <w:lang w:val="es-CO"/>
        </w:rPr>
        <w:t>Responsabilité</w:t>
      </w:r>
      <w:proofErr w:type="spellEnd"/>
      <w:r w:rsidR="00452306" w:rsidRPr="001B3EA2">
        <w:rPr>
          <w:rFonts w:cs="Times New Roman"/>
          <w:color w:val="000000" w:themeColor="text1"/>
          <w:lang w:val="es-CO"/>
        </w:rPr>
        <w:t xml:space="preserve"> </w:t>
      </w:r>
      <w:proofErr w:type="spellStart"/>
      <w:r w:rsidR="00452306" w:rsidRPr="001B3EA2">
        <w:rPr>
          <w:rFonts w:cs="Times New Roman"/>
          <w:color w:val="000000" w:themeColor="text1"/>
          <w:lang w:val="es-CO"/>
        </w:rPr>
        <w:t>Sociale</w:t>
      </w:r>
      <w:proofErr w:type="spellEnd"/>
      <w:r w:rsidR="00452306" w:rsidRPr="001B3EA2">
        <w:rPr>
          <w:rFonts w:cs="Times New Roman"/>
          <w:color w:val="000000" w:themeColor="text1"/>
          <w:lang w:val="es-CO"/>
        </w:rPr>
        <w:t xml:space="preserve"> des </w:t>
      </w:r>
      <w:proofErr w:type="spellStart"/>
      <w:r w:rsidR="00452306" w:rsidRPr="001B3EA2">
        <w:rPr>
          <w:rFonts w:cs="Times New Roman"/>
          <w:color w:val="000000" w:themeColor="text1"/>
          <w:lang w:val="es-CO"/>
        </w:rPr>
        <w:t>Organisations</w:t>
      </w:r>
      <w:proofErr w:type="spellEnd"/>
      <w:r w:rsidR="00452306" w:rsidRPr="001B3EA2">
        <w:rPr>
          <w:rFonts w:cs="Times New Roman"/>
          <w:color w:val="000000" w:themeColor="text1"/>
          <w:lang w:val="es-CO"/>
        </w:rPr>
        <w:t xml:space="preserve">. </w:t>
      </w:r>
      <w:proofErr w:type="spellStart"/>
      <w:proofErr w:type="gramStart"/>
      <w:r w:rsidR="00452306" w:rsidRPr="001B3EA2">
        <w:rPr>
          <w:rFonts w:cs="Times New Roman"/>
          <w:color w:val="000000" w:themeColor="text1"/>
        </w:rPr>
        <w:t>Quelques</w:t>
      </w:r>
      <w:proofErr w:type="spellEnd"/>
      <w:r w:rsidR="00452306" w:rsidRPr="001B3EA2">
        <w:rPr>
          <w:rFonts w:cs="Times New Roman"/>
          <w:color w:val="000000" w:themeColor="text1"/>
        </w:rPr>
        <w:t xml:space="preserve"> </w:t>
      </w:r>
      <w:proofErr w:type="spellStart"/>
      <w:r w:rsidR="00452306" w:rsidRPr="001B3EA2">
        <w:rPr>
          <w:rFonts w:cs="Times New Roman"/>
          <w:color w:val="000000" w:themeColor="text1"/>
        </w:rPr>
        <w:t>apports</w:t>
      </w:r>
      <w:proofErr w:type="spellEnd"/>
      <w:r w:rsidR="00452306" w:rsidRPr="001B3EA2">
        <w:rPr>
          <w:rFonts w:cs="Times New Roman"/>
          <w:color w:val="000000" w:themeColor="text1"/>
        </w:rPr>
        <w:t xml:space="preserve"> à la </w:t>
      </w:r>
      <w:proofErr w:type="spellStart"/>
      <w:r w:rsidR="00452306" w:rsidRPr="001B3EA2">
        <w:rPr>
          <w:rFonts w:cs="Times New Roman"/>
          <w:color w:val="000000" w:themeColor="text1"/>
        </w:rPr>
        <w:t>réflexion</w:t>
      </w:r>
      <w:proofErr w:type="spellEnd"/>
      <w:r w:rsidR="00452306" w:rsidRPr="001B3EA2">
        <w:rPr>
          <w:rFonts w:cs="Times New Roman"/>
          <w:color w:val="000000" w:themeColor="text1"/>
        </w:rPr>
        <w:t>.</w:t>
      </w:r>
      <w:proofErr w:type="gramEnd"/>
      <w:r w:rsidR="00452306" w:rsidRPr="001B3EA2">
        <w:rPr>
          <w:rFonts w:cs="Times New Roman"/>
          <w:color w:val="000000" w:themeColor="text1"/>
        </w:rPr>
        <w:t xml:space="preserve"> </w:t>
      </w:r>
      <w:proofErr w:type="gramStart"/>
      <w:r w:rsidR="00452306" w:rsidRPr="001B3EA2">
        <w:rPr>
          <w:rFonts w:cs="Times New Roman"/>
          <w:color w:val="000000" w:themeColor="text1"/>
        </w:rPr>
        <w:t>(French).</w:t>
      </w:r>
      <w:proofErr w:type="gramEnd"/>
      <w:r w:rsidR="00452306" w:rsidRPr="001B3EA2">
        <w:rPr>
          <w:rFonts w:cs="Times New Roman"/>
          <w:color w:val="000000" w:themeColor="text1"/>
        </w:rPr>
        <w:t xml:space="preserve"> Revue Management </w:t>
      </w:r>
      <w:proofErr w:type="gramStart"/>
      <w:r w:rsidR="00452306" w:rsidRPr="001B3EA2">
        <w:rPr>
          <w:rFonts w:cs="Times New Roman"/>
          <w:color w:val="000000" w:themeColor="text1"/>
        </w:rPr>
        <w:t>Et</w:t>
      </w:r>
      <w:proofErr w:type="gramEnd"/>
      <w:r w:rsidR="00452306" w:rsidRPr="001B3EA2">
        <w:rPr>
          <w:rFonts w:cs="Times New Roman"/>
          <w:color w:val="000000" w:themeColor="text1"/>
        </w:rPr>
        <w:t xml:space="preserve"> </w:t>
      </w:r>
      <w:proofErr w:type="spellStart"/>
      <w:r w:rsidR="00452306" w:rsidRPr="001B3EA2">
        <w:rPr>
          <w:rFonts w:cs="Times New Roman"/>
          <w:color w:val="000000" w:themeColor="text1"/>
        </w:rPr>
        <w:t>Avenir</w:t>
      </w:r>
      <w:proofErr w:type="spellEnd"/>
      <w:r w:rsidR="00452306" w:rsidRPr="001B3EA2">
        <w:rPr>
          <w:rFonts w:cs="Times New Roman"/>
          <w:color w:val="000000" w:themeColor="text1"/>
        </w:rPr>
        <w:t>, (23), 73-82.</w:t>
      </w:r>
    </w:p>
    <w:p w:rsidR="00452306" w:rsidRPr="001B3EA2" w:rsidRDefault="00C53A57" w:rsidP="009561DB">
      <w:pPr>
        <w:pStyle w:val="NormalWeb"/>
        <w:spacing w:before="0" w:beforeAutospacing="0" w:after="0" w:afterAutospacing="0"/>
        <w:ind w:left="720" w:hanging="720"/>
        <w:jc w:val="both"/>
        <w:textAlignment w:val="baseline"/>
        <w:rPr>
          <w:color w:val="000000" w:themeColor="text1"/>
          <w:lang w:val="en-US"/>
        </w:rPr>
      </w:pPr>
      <w:r>
        <w:rPr>
          <w:color w:val="000000" w:themeColor="text1"/>
        </w:rPr>
        <w:t xml:space="preserve">Bo, H., Li, T. &amp; </w:t>
      </w:r>
      <w:proofErr w:type="spellStart"/>
      <w:r>
        <w:rPr>
          <w:color w:val="000000" w:themeColor="text1"/>
        </w:rPr>
        <w:t>T</w:t>
      </w:r>
      <w:r w:rsidR="00452306" w:rsidRPr="001B3EA2">
        <w:rPr>
          <w:color w:val="000000" w:themeColor="text1"/>
        </w:rPr>
        <w:t>oolsema</w:t>
      </w:r>
      <w:proofErr w:type="spellEnd"/>
      <w:r w:rsidR="00452306" w:rsidRPr="001B3EA2">
        <w:rPr>
          <w:color w:val="000000" w:themeColor="text1"/>
        </w:rPr>
        <w:t xml:space="preserve">, </w:t>
      </w:r>
      <w:r>
        <w:rPr>
          <w:color w:val="000000" w:themeColor="text1"/>
        </w:rPr>
        <w:t>L</w:t>
      </w:r>
      <w:r w:rsidR="00452306" w:rsidRPr="001B3EA2">
        <w:rPr>
          <w:color w:val="000000" w:themeColor="text1"/>
        </w:rPr>
        <w:t xml:space="preserve">. </w:t>
      </w:r>
      <w:r>
        <w:rPr>
          <w:color w:val="000000" w:themeColor="text1"/>
        </w:rPr>
        <w:t>2009</w:t>
      </w:r>
      <w:r w:rsidR="00452306" w:rsidRPr="001B3EA2">
        <w:rPr>
          <w:color w:val="000000" w:themeColor="text1"/>
        </w:rPr>
        <w:t xml:space="preserve">. </w:t>
      </w:r>
      <w:r w:rsidRPr="00C53A57">
        <w:rPr>
          <w:color w:val="000000" w:themeColor="text1"/>
          <w:lang w:val="en-US"/>
        </w:rPr>
        <w:t>‘</w:t>
      </w:r>
      <w:r w:rsidR="00452306" w:rsidRPr="001B3EA2">
        <w:rPr>
          <w:color w:val="000000" w:themeColor="text1"/>
          <w:lang w:val="en-US"/>
        </w:rPr>
        <w:t xml:space="preserve">Corporate social responsibility investment and social objectives: an examination on social welfare investment of </w:t>
      </w:r>
      <w:proofErr w:type="spellStart"/>
      <w:r w:rsidR="00452306" w:rsidRPr="001B3EA2">
        <w:rPr>
          <w:color w:val="000000" w:themeColor="text1"/>
          <w:lang w:val="en-US"/>
        </w:rPr>
        <w:t>chinese</w:t>
      </w:r>
      <w:proofErr w:type="spellEnd"/>
      <w:r w:rsidR="00452306" w:rsidRPr="001B3EA2">
        <w:rPr>
          <w:color w:val="000000" w:themeColor="text1"/>
          <w:lang w:val="en-US"/>
        </w:rPr>
        <w:t xml:space="preserve"> state owned enterprises</w:t>
      </w:r>
      <w:r>
        <w:rPr>
          <w:color w:val="000000" w:themeColor="text1"/>
          <w:lang w:val="en-US"/>
        </w:rPr>
        <w:t>’</w:t>
      </w:r>
      <w:r w:rsidR="00452306" w:rsidRPr="001B3EA2">
        <w:rPr>
          <w:color w:val="000000" w:themeColor="text1"/>
          <w:lang w:val="en-US"/>
        </w:rPr>
        <w:t>.</w:t>
      </w:r>
      <w:r w:rsidR="00452306" w:rsidRPr="001B3EA2">
        <w:rPr>
          <w:rStyle w:val="apple-converted-space"/>
          <w:color w:val="000000" w:themeColor="text1"/>
          <w:lang w:val="en-US"/>
        </w:rPr>
        <w:t> </w:t>
      </w:r>
      <w:proofErr w:type="gramStart"/>
      <w:r w:rsidR="00452306" w:rsidRPr="00C53A57">
        <w:rPr>
          <w:iCs/>
          <w:color w:val="000000" w:themeColor="text1"/>
          <w:bdr w:val="none" w:sz="0" w:space="0" w:color="auto" w:frame="1"/>
          <w:lang w:val="en-US"/>
        </w:rPr>
        <w:t>Scottish journal of political economy</w:t>
      </w:r>
      <w:r w:rsidR="00452306" w:rsidRPr="001B3EA2">
        <w:rPr>
          <w:color w:val="000000" w:themeColor="text1"/>
          <w:lang w:val="en-US"/>
        </w:rPr>
        <w:t>,</w:t>
      </w:r>
      <w:r w:rsidR="00452306" w:rsidRPr="001B3EA2">
        <w:rPr>
          <w:rStyle w:val="apple-converted-space"/>
          <w:color w:val="000000" w:themeColor="text1"/>
          <w:lang w:val="en-US"/>
        </w:rPr>
        <w:t> </w:t>
      </w:r>
      <w:r w:rsidR="00452306" w:rsidRPr="001B3EA2">
        <w:rPr>
          <w:i/>
          <w:iCs/>
          <w:color w:val="000000" w:themeColor="text1"/>
          <w:bdr w:val="none" w:sz="0" w:space="0" w:color="auto" w:frame="1"/>
          <w:lang w:val="en-US"/>
        </w:rPr>
        <w:t>56</w:t>
      </w:r>
      <w:r w:rsidR="00452306" w:rsidRPr="001B3EA2">
        <w:rPr>
          <w:color w:val="000000" w:themeColor="text1"/>
          <w:lang w:val="en-US"/>
        </w:rPr>
        <w:t>(3), 267-295.</w:t>
      </w:r>
      <w:proofErr w:type="gramEnd"/>
      <w:r w:rsidR="00452306" w:rsidRPr="001B3EA2">
        <w:rPr>
          <w:color w:val="000000" w:themeColor="text1"/>
          <w:lang w:val="en-US"/>
        </w:rPr>
        <w:t xml:space="preserve"> </w:t>
      </w:r>
    </w:p>
    <w:p w:rsidR="00ED78B9"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Carroll, A. B.: 1979, ‘A Three-Dimensional Conceptual Model of Corporate Performance’, Academy of Management Review 4(4), 497–505.</w:t>
      </w:r>
    </w:p>
    <w:p w:rsidR="00ED78B9" w:rsidRPr="001B3EA2" w:rsidRDefault="00C53A57" w:rsidP="009561DB">
      <w:pPr>
        <w:pStyle w:val="NormalWeb"/>
        <w:spacing w:before="0" w:beforeAutospacing="0" w:after="0" w:afterAutospacing="0"/>
        <w:ind w:left="720" w:hanging="720"/>
        <w:jc w:val="both"/>
        <w:textAlignment w:val="baseline"/>
        <w:rPr>
          <w:color w:val="000000" w:themeColor="text1"/>
          <w:lang w:val="en-US"/>
        </w:rPr>
      </w:pPr>
      <w:r>
        <w:rPr>
          <w:color w:val="000000" w:themeColor="text1"/>
        </w:rPr>
        <w:t>Cortina, A. 2003</w:t>
      </w:r>
      <w:r w:rsidR="00ED78B9" w:rsidRPr="001B3EA2">
        <w:rPr>
          <w:color w:val="000000" w:themeColor="text1"/>
        </w:rPr>
        <w:t xml:space="preserve">. La ética de la empresa. </w:t>
      </w:r>
      <w:r w:rsidR="00ED78B9" w:rsidRPr="0066047C">
        <w:rPr>
          <w:color w:val="000000" w:themeColor="text1"/>
          <w:lang w:val="en-US"/>
        </w:rPr>
        <w:t xml:space="preserve">Madrid: </w:t>
      </w:r>
      <w:proofErr w:type="spellStart"/>
      <w:r w:rsidR="00ED78B9" w:rsidRPr="0066047C">
        <w:rPr>
          <w:color w:val="000000" w:themeColor="text1"/>
          <w:lang w:val="en-US"/>
        </w:rPr>
        <w:t>Trotta</w:t>
      </w:r>
      <w:proofErr w:type="spellEnd"/>
      <w:r w:rsidR="00ED78B9" w:rsidRPr="0066047C">
        <w:rPr>
          <w:color w:val="000000" w:themeColor="text1"/>
          <w:lang w:val="en-US"/>
        </w:rPr>
        <w:t xml:space="preserve">.  </w:t>
      </w:r>
    </w:p>
    <w:p w:rsidR="00452306" w:rsidRPr="001B3EA2" w:rsidRDefault="00C53A57" w:rsidP="009561DB">
      <w:pPr>
        <w:pStyle w:val="NormalWeb"/>
        <w:spacing w:before="0" w:beforeAutospacing="0" w:after="0" w:afterAutospacing="0"/>
        <w:ind w:left="720" w:hanging="720"/>
        <w:jc w:val="both"/>
        <w:textAlignment w:val="baseline"/>
        <w:rPr>
          <w:color w:val="000000" w:themeColor="text1"/>
          <w:lang w:val="en-US"/>
        </w:rPr>
      </w:pPr>
      <w:r>
        <w:rPr>
          <w:color w:val="000000" w:themeColor="text1"/>
          <w:lang w:val="en-US"/>
        </w:rPr>
        <w:t>Davis, K.</w:t>
      </w:r>
      <w:r w:rsidR="00452306" w:rsidRPr="001B3EA2">
        <w:rPr>
          <w:color w:val="000000" w:themeColor="text1"/>
          <w:lang w:val="en-US"/>
        </w:rPr>
        <w:t xml:space="preserve"> 1960, ‘Can Business Afford to Ignore Corporate Social Responsibilities?</w:t>
      </w:r>
      <w:proofErr w:type="gramStart"/>
      <w:r w:rsidR="00452306" w:rsidRPr="001B3EA2">
        <w:rPr>
          <w:color w:val="000000" w:themeColor="text1"/>
          <w:lang w:val="en-US"/>
        </w:rPr>
        <w:t>’,</w:t>
      </w:r>
      <w:proofErr w:type="gramEnd"/>
      <w:r w:rsidR="00452306" w:rsidRPr="001B3EA2">
        <w:rPr>
          <w:color w:val="000000" w:themeColor="text1"/>
          <w:lang w:val="en-US"/>
        </w:rPr>
        <w:t xml:space="preserve"> California Management Review 2, 70–76.</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 xml:space="preserve">Donaldson, T. and T. W. </w:t>
      </w:r>
      <w:proofErr w:type="spellStart"/>
      <w:r w:rsidRPr="001B3EA2">
        <w:rPr>
          <w:color w:val="000000" w:themeColor="text1"/>
          <w:lang w:val="en-US"/>
        </w:rPr>
        <w:t>Dunfee</w:t>
      </w:r>
      <w:proofErr w:type="spellEnd"/>
      <w:r w:rsidRPr="001B3EA2">
        <w:rPr>
          <w:color w:val="000000" w:themeColor="text1"/>
          <w:lang w:val="en-US"/>
        </w:rPr>
        <w:t>: 1994, ‘Towards a Unified Conception of Business Ethics: Integrative Social Contracts Theory’, Academy of Management Review 19, 252–284.</w:t>
      </w:r>
    </w:p>
    <w:p w:rsidR="00452306" w:rsidRPr="001B3EA2" w:rsidRDefault="00452306" w:rsidP="009561DB">
      <w:pPr>
        <w:spacing w:after="0"/>
        <w:ind w:left="709" w:hanging="709"/>
        <w:jc w:val="both"/>
        <w:rPr>
          <w:rFonts w:cs="Times New Roman"/>
          <w:color w:val="000000" w:themeColor="text1"/>
        </w:rPr>
      </w:pPr>
      <w:proofErr w:type="spellStart"/>
      <w:proofErr w:type="gramStart"/>
      <w:r w:rsidRPr="001B3EA2">
        <w:rPr>
          <w:rFonts w:cs="Times New Roman"/>
          <w:color w:val="000000" w:themeColor="text1"/>
        </w:rPr>
        <w:t>Fa</w:t>
      </w:r>
      <w:r w:rsidR="00C53A57">
        <w:rPr>
          <w:rFonts w:cs="Times New Roman"/>
          <w:color w:val="000000" w:themeColor="text1"/>
        </w:rPr>
        <w:t>irbrass</w:t>
      </w:r>
      <w:proofErr w:type="spellEnd"/>
      <w:r w:rsidR="00C53A57">
        <w:rPr>
          <w:rFonts w:cs="Times New Roman"/>
          <w:color w:val="000000" w:themeColor="text1"/>
        </w:rPr>
        <w:t xml:space="preserve">, J., &amp; </w:t>
      </w:r>
      <w:proofErr w:type="spellStart"/>
      <w:r w:rsidR="00C53A57">
        <w:rPr>
          <w:rFonts w:cs="Times New Roman"/>
          <w:color w:val="000000" w:themeColor="text1"/>
        </w:rPr>
        <w:t>Zueva</w:t>
      </w:r>
      <w:proofErr w:type="spellEnd"/>
      <w:r w:rsidR="00C53A57">
        <w:rPr>
          <w:rFonts w:cs="Times New Roman"/>
          <w:color w:val="000000" w:themeColor="text1"/>
        </w:rPr>
        <w:t>-Owens, A. 2012</w:t>
      </w:r>
      <w:r w:rsidRPr="001B3EA2">
        <w:rPr>
          <w:rFonts w:cs="Times New Roman"/>
          <w:color w:val="000000" w:themeColor="text1"/>
        </w:rPr>
        <w:t>.</w:t>
      </w:r>
      <w:proofErr w:type="gramEnd"/>
      <w:r w:rsidRPr="001B3EA2">
        <w:rPr>
          <w:rFonts w:cs="Times New Roman"/>
          <w:color w:val="000000" w:themeColor="text1"/>
        </w:rPr>
        <w:t xml:space="preserve"> </w:t>
      </w:r>
      <w:r w:rsidR="00C53A57">
        <w:rPr>
          <w:rFonts w:cs="Times New Roman"/>
          <w:color w:val="000000" w:themeColor="text1"/>
        </w:rPr>
        <w:t>´</w:t>
      </w:r>
      <w:proofErr w:type="spellStart"/>
      <w:r w:rsidRPr="001B3EA2">
        <w:rPr>
          <w:rFonts w:cs="Times New Roman"/>
          <w:color w:val="000000" w:themeColor="text1"/>
        </w:rPr>
        <w:t>Conceptualising</w:t>
      </w:r>
      <w:proofErr w:type="spellEnd"/>
      <w:r w:rsidRPr="001B3EA2">
        <w:rPr>
          <w:rFonts w:cs="Times New Roman"/>
          <w:color w:val="000000" w:themeColor="text1"/>
        </w:rPr>
        <w:t xml:space="preserve"> Corporate Social Responsibility: 'Relational Governance' Assessed, Augmented, and Adapted</w:t>
      </w:r>
      <w:r w:rsidR="00C53A57">
        <w:rPr>
          <w:rFonts w:cs="Times New Roman"/>
          <w:color w:val="000000" w:themeColor="text1"/>
        </w:rPr>
        <w:t>’. Journal o</w:t>
      </w:r>
      <w:r w:rsidRPr="001B3EA2">
        <w:rPr>
          <w:rFonts w:cs="Times New Roman"/>
          <w:color w:val="000000" w:themeColor="text1"/>
        </w:rPr>
        <w:t xml:space="preserve">f Business Ethics, 105(3), 321-335. </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C53A57">
        <w:rPr>
          <w:color w:val="000000" w:themeColor="text1"/>
        </w:rPr>
        <w:t>Fontrodo</w:t>
      </w:r>
      <w:r w:rsidR="00C53A57" w:rsidRPr="00C53A57">
        <w:rPr>
          <w:color w:val="000000" w:themeColor="text1"/>
        </w:rPr>
        <w:t>na</w:t>
      </w:r>
      <w:proofErr w:type="spellEnd"/>
      <w:r w:rsidR="00C53A57" w:rsidRPr="00C53A57">
        <w:rPr>
          <w:color w:val="000000" w:themeColor="text1"/>
        </w:rPr>
        <w:t xml:space="preserve">, J., </w:t>
      </w:r>
      <w:proofErr w:type="spellStart"/>
      <w:r w:rsidR="00C53A57" w:rsidRPr="00C53A57">
        <w:rPr>
          <w:color w:val="000000" w:themeColor="text1"/>
        </w:rPr>
        <w:t>Sison</w:t>
      </w:r>
      <w:proofErr w:type="spellEnd"/>
      <w:r w:rsidR="00C53A57" w:rsidRPr="00C53A57">
        <w:rPr>
          <w:color w:val="000000" w:themeColor="text1"/>
        </w:rPr>
        <w:t xml:space="preserve">, A., &amp; </w:t>
      </w:r>
      <w:proofErr w:type="spellStart"/>
      <w:r w:rsidR="00C53A57" w:rsidRPr="00C53A57">
        <w:rPr>
          <w:color w:val="000000" w:themeColor="text1"/>
        </w:rPr>
        <w:t>Bruin</w:t>
      </w:r>
      <w:proofErr w:type="spellEnd"/>
      <w:r w:rsidR="00C53A57" w:rsidRPr="00C53A57">
        <w:rPr>
          <w:color w:val="000000" w:themeColor="text1"/>
        </w:rPr>
        <w:t>, B. 2013</w:t>
      </w:r>
      <w:r w:rsidRPr="00C53A57">
        <w:rPr>
          <w:color w:val="000000" w:themeColor="text1"/>
        </w:rPr>
        <w:t xml:space="preserve">. </w:t>
      </w:r>
      <w:r w:rsidR="00C53A57" w:rsidRPr="00C53A57">
        <w:rPr>
          <w:color w:val="000000" w:themeColor="text1"/>
          <w:lang w:val="en-US"/>
        </w:rPr>
        <w:t>‘</w:t>
      </w:r>
      <w:r w:rsidRPr="001B3EA2">
        <w:rPr>
          <w:color w:val="000000" w:themeColor="text1"/>
          <w:lang w:val="en-US"/>
        </w:rPr>
        <w:t xml:space="preserve">Editorial Introduction: Putting Virtues </w:t>
      </w:r>
      <w:proofErr w:type="gramStart"/>
      <w:r w:rsidRPr="001B3EA2">
        <w:rPr>
          <w:color w:val="000000" w:themeColor="text1"/>
          <w:lang w:val="en-US"/>
        </w:rPr>
        <w:t>Into</w:t>
      </w:r>
      <w:proofErr w:type="gramEnd"/>
      <w:r w:rsidRPr="001B3EA2">
        <w:rPr>
          <w:color w:val="000000" w:themeColor="text1"/>
          <w:lang w:val="en-US"/>
        </w:rPr>
        <w:t xml:space="preserve"> Practice. </w:t>
      </w:r>
      <w:proofErr w:type="gramStart"/>
      <w:r w:rsidRPr="001B3EA2">
        <w:rPr>
          <w:color w:val="000000" w:themeColor="text1"/>
          <w:lang w:val="en-US"/>
        </w:rPr>
        <w:t xml:space="preserve">A Challenge for Business and </w:t>
      </w:r>
      <w:proofErr w:type="spellStart"/>
      <w:r w:rsidRPr="001B3EA2">
        <w:rPr>
          <w:color w:val="000000" w:themeColor="text1"/>
          <w:lang w:val="en-US"/>
        </w:rPr>
        <w:t>Organizations</w:t>
      </w:r>
      <w:r w:rsidR="00C53A57">
        <w:rPr>
          <w:color w:val="000000" w:themeColor="text1"/>
          <w:lang w:val="en-US"/>
        </w:rPr>
        <w:t>’.Journal</w:t>
      </w:r>
      <w:proofErr w:type="spellEnd"/>
      <w:r w:rsidR="00C53A57">
        <w:rPr>
          <w:color w:val="000000" w:themeColor="text1"/>
          <w:lang w:val="en-US"/>
        </w:rPr>
        <w:t xml:space="preserve"> o</w:t>
      </w:r>
      <w:r w:rsidRPr="001B3EA2">
        <w:rPr>
          <w:color w:val="000000" w:themeColor="text1"/>
          <w:lang w:val="en-US"/>
        </w:rPr>
        <w:t>f Business Ethics, 113(4), 563-565.</w:t>
      </w:r>
      <w:proofErr w:type="gramEnd"/>
      <w:r w:rsidRPr="001B3EA2">
        <w:rPr>
          <w:color w:val="000000" w:themeColor="text1"/>
          <w:lang w:val="en-US"/>
        </w:rPr>
        <w:t xml:space="preserve"> </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 xml:space="preserve">Frederick, W. C.: 1987, ‘Theories of Corporate Social Performance’, in S. P. </w:t>
      </w:r>
      <w:proofErr w:type="spellStart"/>
      <w:r w:rsidRPr="001B3EA2">
        <w:rPr>
          <w:color w:val="000000" w:themeColor="text1"/>
          <w:lang w:val="en-US"/>
        </w:rPr>
        <w:t>Sethi</w:t>
      </w:r>
      <w:proofErr w:type="spellEnd"/>
      <w:r w:rsidRPr="001B3EA2">
        <w:rPr>
          <w:color w:val="000000" w:themeColor="text1"/>
          <w:lang w:val="en-US"/>
        </w:rPr>
        <w:t xml:space="preserve"> and C. M. </w:t>
      </w:r>
      <w:proofErr w:type="spellStart"/>
      <w:r w:rsidRPr="001B3EA2">
        <w:rPr>
          <w:color w:val="000000" w:themeColor="text1"/>
          <w:lang w:val="en-US"/>
        </w:rPr>
        <w:t>Flabe</w:t>
      </w:r>
      <w:proofErr w:type="spellEnd"/>
      <w:r w:rsidRPr="001B3EA2">
        <w:rPr>
          <w:color w:val="000000" w:themeColor="text1"/>
          <w:lang w:val="en-US"/>
        </w:rPr>
        <w:t xml:space="preserve"> (ed.), Business and Society: Dimensions of Conflict and Cooperation (Lexington Books, New York), pp. 142–161.</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Frederick, W. C.: 1998, ‘Moving to CSR4’, Business and Society 37(1), 40–60.</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Freeman, R. E.: 1994, ‘</w:t>
      </w:r>
      <w:proofErr w:type="gramStart"/>
      <w:r w:rsidRPr="001B3EA2">
        <w:rPr>
          <w:color w:val="000000" w:themeColor="text1"/>
          <w:lang w:val="en-US"/>
        </w:rPr>
        <w:t>The</w:t>
      </w:r>
      <w:proofErr w:type="gramEnd"/>
      <w:r w:rsidRPr="001B3EA2">
        <w:rPr>
          <w:color w:val="000000" w:themeColor="text1"/>
          <w:lang w:val="en-US"/>
        </w:rPr>
        <w:t xml:space="preserve"> Politics of Stakeholder Theory: Some Future Directions’, Business Ethics Quarterly 4(4), 409–429.</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Friedman, M.: 1970, ‘The Social Responsibility of Business is to Increase its Profits’, New York Times Magazine, September 13th, 32–33, 122, 126.</w:t>
      </w:r>
    </w:p>
    <w:p w:rsidR="00452306" w:rsidRPr="001B3EA2" w:rsidRDefault="00C53A57" w:rsidP="009561DB">
      <w:pPr>
        <w:pStyle w:val="NormalWeb"/>
        <w:spacing w:before="0" w:beforeAutospacing="0" w:after="0" w:afterAutospacing="0"/>
        <w:ind w:left="720" w:hanging="720"/>
        <w:jc w:val="both"/>
        <w:textAlignment w:val="baseline"/>
        <w:rPr>
          <w:color w:val="000000" w:themeColor="text1"/>
          <w:lang w:val="en-US"/>
        </w:rPr>
      </w:pPr>
      <w:proofErr w:type="spellStart"/>
      <w:r>
        <w:rPr>
          <w:color w:val="000000" w:themeColor="text1"/>
          <w:lang w:val="en-US"/>
        </w:rPr>
        <w:t>Garriga</w:t>
      </w:r>
      <w:proofErr w:type="spellEnd"/>
      <w:r>
        <w:rPr>
          <w:color w:val="000000" w:themeColor="text1"/>
          <w:lang w:val="en-US"/>
        </w:rPr>
        <w:t xml:space="preserve">, E., &amp; </w:t>
      </w:r>
      <w:proofErr w:type="spellStart"/>
      <w:r>
        <w:rPr>
          <w:color w:val="000000" w:themeColor="text1"/>
          <w:lang w:val="en-US"/>
        </w:rPr>
        <w:t>Melé</w:t>
      </w:r>
      <w:proofErr w:type="spellEnd"/>
      <w:r>
        <w:rPr>
          <w:color w:val="000000" w:themeColor="text1"/>
          <w:lang w:val="en-US"/>
        </w:rPr>
        <w:t>, D. 2004</w:t>
      </w:r>
      <w:r w:rsidR="00452306" w:rsidRPr="001B3EA2">
        <w:rPr>
          <w:color w:val="000000" w:themeColor="text1"/>
          <w:lang w:val="en-US"/>
        </w:rPr>
        <w:t xml:space="preserve">. </w:t>
      </w:r>
      <w:r>
        <w:rPr>
          <w:color w:val="000000" w:themeColor="text1"/>
          <w:lang w:val="en-US"/>
        </w:rPr>
        <w:t>‘</w:t>
      </w:r>
      <w:r w:rsidR="00452306" w:rsidRPr="001B3EA2">
        <w:rPr>
          <w:color w:val="000000" w:themeColor="text1"/>
          <w:lang w:val="en-US"/>
        </w:rPr>
        <w:t>Corporate Social Responsibility Theories: Mapping the Territory</w:t>
      </w:r>
      <w:r>
        <w:rPr>
          <w:color w:val="000000" w:themeColor="text1"/>
          <w:lang w:val="en-US"/>
        </w:rPr>
        <w:t>’</w:t>
      </w:r>
      <w:r w:rsidR="00452306" w:rsidRPr="001B3EA2">
        <w:rPr>
          <w:color w:val="000000" w:themeColor="text1"/>
          <w:lang w:val="en-US"/>
        </w:rPr>
        <w:t xml:space="preserve">. Journal </w:t>
      </w:r>
      <w:proofErr w:type="gramStart"/>
      <w:r w:rsidR="00452306" w:rsidRPr="001B3EA2">
        <w:rPr>
          <w:color w:val="000000" w:themeColor="text1"/>
          <w:lang w:val="en-US"/>
        </w:rPr>
        <w:t>Of</w:t>
      </w:r>
      <w:proofErr w:type="gramEnd"/>
      <w:r w:rsidR="00452306" w:rsidRPr="001B3EA2">
        <w:rPr>
          <w:color w:val="000000" w:themeColor="text1"/>
          <w:lang w:val="en-US"/>
        </w:rPr>
        <w:t xml:space="preserve"> Business Ethics, 53(1/2), 51-71.</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Gladwin, T. N. and J. J. Kennelly: 1995, ‘Shifting Paradigms for Sustainable Development: Implications for Management Theory and Research.’ Academy of Management Review 20(4), 874–904.</w:t>
      </w:r>
    </w:p>
    <w:p w:rsidR="00452306" w:rsidRPr="001B3EA2" w:rsidRDefault="00C53A57" w:rsidP="009561DB">
      <w:pPr>
        <w:pStyle w:val="NormalWeb"/>
        <w:spacing w:before="0" w:beforeAutospacing="0" w:after="0" w:afterAutospacing="0"/>
        <w:ind w:left="720" w:hanging="720"/>
        <w:jc w:val="both"/>
        <w:textAlignment w:val="baseline"/>
        <w:rPr>
          <w:color w:val="000000" w:themeColor="text1"/>
          <w:lang w:val="en-US"/>
        </w:rPr>
      </w:pPr>
      <w:proofErr w:type="gramStart"/>
      <w:r>
        <w:rPr>
          <w:color w:val="000000" w:themeColor="text1"/>
          <w:lang w:val="en-US"/>
        </w:rPr>
        <w:t>He, T., Li, W., &amp; Tang, G. 2012</w:t>
      </w:r>
      <w:r w:rsidR="00452306" w:rsidRPr="001B3EA2">
        <w:rPr>
          <w:color w:val="000000" w:themeColor="text1"/>
          <w:lang w:val="en-US"/>
        </w:rPr>
        <w:t>.</w:t>
      </w:r>
      <w:proofErr w:type="gramEnd"/>
      <w:r w:rsidR="00452306" w:rsidRPr="001B3EA2">
        <w:rPr>
          <w:color w:val="000000" w:themeColor="text1"/>
          <w:lang w:val="en-US"/>
        </w:rPr>
        <w:t xml:space="preserve"> </w:t>
      </w:r>
      <w:r>
        <w:rPr>
          <w:color w:val="000000" w:themeColor="text1"/>
          <w:lang w:val="en-US"/>
        </w:rPr>
        <w:t>‘</w:t>
      </w:r>
      <w:r w:rsidR="00452306" w:rsidRPr="001B3EA2">
        <w:rPr>
          <w:color w:val="000000" w:themeColor="text1"/>
          <w:lang w:val="en-US"/>
        </w:rPr>
        <w:t xml:space="preserve">Dividends behavior in state- versus family-controlled firms: evidence from </w:t>
      </w:r>
      <w:proofErr w:type="spellStart"/>
      <w:proofErr w:type="gramStart"/>
      <w:r w:rsidR="00452306" w:rsidRPr="001B3EA2">
        <w:rPr>
          <w:color w:val="000000" w:themeColor="text1"/>
          <w:lang w:val="en-US"/>
        </w:rPr>
        <w:t>hong</w:t>
      </w:r>
      <w:proofErr w:type="spellEnd"/>
      <w:r w:rsidR="00452306" w:rsidRPr="001B3EA2">
        <w:rPr>
          <w:color w:val="000000" w:themeColor="text1"/>
          <w:lang w:val="en-US"/>
        </w:rPr>
        <w:t xml:space="preserve"> </w:t>
      </w:r>
      <w:proofErr w:type="spellStart"/>
      <w:r w:rsidR="00452306" w:rsidRPr="001B3EA2">
        <w:rPr>
          <w:color w:val="000000" w:themeColor="text1"/>
          <w:lang w:val="en-US"/>
        </w:rPr>
        <w:t>kong</w:t>
      </w:r>
      <w:proofErr w:type="spellEnd"/>
      <w:proofErr w:type="gramEnd"/>
      <w:r>
        <w:rPr>
          <w:color w:val="000000" w:themeColor="text1"/>
          <w:lang w:val="en-US"/>
        </w:rPr>
        <w:t>’,</w:t>
      </w:r>
      <w:r w:rsidR="00452306" w:rsidRPr="001B3EA2">
        <w:rPr>
          <w:rStyle w:val="apple-converted-space"/>
          <w:color w:val="000000" w:themeColor="text1"/>
          <w:lang w:val="en-US"/>
        </w:rPr>
        <w:t> </w:t>
      </w:r>
      <w:r w:rsidR="00452306" w:rsidRPr="00C53A57">
        <w:rPr>
          <w:iCs/>
          <w:color w:val="000000" w:themeColor="text1"/>
          <w:bdr w:val="none" w:sz="0" w:space="0" w:color="auto" w:frame="1"/>
          <w:lang w:val="en-US"/>
        </w:rPr>
        <w:t>Journal of business ethics</w:t>
      </w:r>
      <w:r w:rsidR="00452306" w:rsidRPr="00C53A57">
        <w:rPr>
          <w:color w:val="000000" w:themeColor="text1"/>
          <w:lang w:val="en-US"/>
        </w:rPr>
        <w:t>,</w:t>
      </w:r>
      <w:r w:rsidR="00452306" w:rsidRPr="00C53A57">
        <w:rPr>
          <w:rStyle w:val="apple-converted-space"/>
          <w:color w:val="000000" w:themeColor="text1"/>
          <w:lang w:val="en-US"/>
        </w:rPr>
        <w:t> </w:t>
      </w:r>
      <w:r w:rsidR="00452306" w:rsidRPr="00C53A57">
        <w:rPr>
          <w:iCs/>
          <w:color w:val="000000" w:themeColor="text1"/>
          <w:bdr w:val="none" w:sz="0" w:space="0" w:color="auto" w:frame="1"/>
          <w:lang w:val="en-US"/>
        </w:rPr>
        <w:t>110</w:t>
      </w:r>
      <w:r w:rsidR="00452306" w:rsidRPr="00C53A57">
        <w:rPr>
          <w:color w:val="000000" w:themeColor="text1"/>
          <w:lang w:val="en-US"/>
        </w:rPr>
        <w:t>(</w:t>
      </w:r>
      <w:r w:rsidR="00452306" w:rsidRPr="001B3EA2">
        <w:rPr>
          <w:color w:val="000000" w:themeColor="text1"/>
          <w:lang w:val="en-US"/>
        </w:rPr>
        <w:t xml:space="preserve">1), 97-112. </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1B3EA2">
        <w:rPr>
          <w:color w:val="000000" w:themeColor="text1"/>
          <w:lang w:val="en-US"/>
        </w:rPr>
        <w:t>Heald</w:t>
      </w:r>
      <w:proofErr w:type="spellEnd"/>
      <w:r w:rsidRPr="001B3EA2">
        <w:rPr>
          <w:color w:val="000000" w:themeColor="text1"/>
          <w:lang w:val="en-US"/>
        </w:rPr>
        <w:t xml:space="preserve">, M.: 1988, </w:t>
      </w:r>
      <w:proofErr w:type="gramStart"/>
      <w:r w:rsidRPr="001B3EA2">
        <w:rPr>
          <w:color w:val="000000" w:themeColor="text1"/>
          <w:lang w:val="en-US"/>
        </w:rPr>
        <w:t>The</w:t>
      </w:r>
      <w:proofErr w:type="gramEnd"/>
      <w:r w:rsidRPr="001B3EA2">
        <w:rPr>
          <w:color w:val="000000" w:themeColor="text1"/>
          <w:lang w:val="en-US"/>
        </w:rPr>
        <w:t xml:space="preserve"> Social Responsibilities of Business: Company and Community, 1900–1960 (Transaction Books, New Brunswick).</w:t>
      </w:r>
    </w:p>
    <w:p w:rsidR="00452306" w:rsidRPr="001B3EA2" w:rsidRDefault="00C53A57" w:rsidP="009561DB">
      <w:pPr>
        <w:spacing w:after="0"/>
        <w:ind w:left="709" w:hanging="709"/>
        <w:jc w:val="both"/>
        <w:rPr>
          <w:rFonts w:cs="Times New Roman"/>
          <w:color w:val="000000" w:themeColor="text1"/>
        </w:rPr>
      </w:pPr>
      <w:r>
        <w:rPr>
          <w:rFonts w:cs="Times New Roman"/>
          <w:color w:val="000000" w:themeColor="text1"/>
          <w:lang w:val="es-CO"/>
        </w:rPr>
        <w:lastRenderedPageBreak/>
        <w:t>Herrera, W. 2011</w:t>
      </w:r>
      <w:r w:rsidR="00452306" w:rsidRPr="001B3EA2">
        <w:rPr>
          <w:rFonts w:cs="Times New Roman"/>
          <w:color w:val="000000" w:themeColor="text1"/>
          <w:lang w:val="es-CO"/>
        </w:rPr>
        <w:t xml:space="preserve">. </w:t>
      </w:r>
      <w:r>
        <w:rPr>
          <w:rFonts w:cs="Times New Roman"/>
          <w:color w:val="000000" w:themeColor="text1"/>
          <w:lang w:val="es-CO"/>
        </w:rPr>
        <w:t>‘</w:t>
      </w:r>
      <w:r w:rsidR="00452306" w:rsidRPr="001B3EA2">
        <w:rPr>
          <w:rFonts w:cs="Times New Roman"/>
          <w:color w:val="000000" w:themeColor="text1"/>
          <w:lang w:val="es-CO"/>
        </w:rPr>
        <w:t>Crítica del modelo neoliberal de empresa: un análisis de la RSE desde la idea de Estado social de derecho</w:t>
      </w:r>
      <w:r>
        <w:rPr>
          <w:rFonts w:cs="Times New Roman"/>
          <w:color w:val="000000" w:themeColor="text1"/>
          <w:lang w:val="es-CO"/>
        </w:rPr>
        <w:t>’</w:t>
      </w:r>
      <w:r w:rsidR="00452306" w:rsidRPr="001B3EA2">
        <w:rPr>
          <w:rFonts w:cs="Times New Roman"/>
          <w:color w:val="000000" w:themeColor="text1"/>
          <w:lang w:val="es-CO"/>
        </w:rPr>
        <w:t xml:space="preserve">. </w:t>
      </w:r>
      <w:proofErr w:type="spellStart"/>
      <w:proofErr w:type="gramStart"/>
      <w:r w:rsidR="00452306" w:rsidRPr="001B3EA2">
        <w:rPr>
          <w:rFonts w:cs="Times New Roman"/>
          <w:i/>
          <w:color w:val="000000" w:themeColor="text1"/>
        </w:rPr>
        <w:t>Cuadernos</w:t>
      </w:r>
      <w:proofErr w:type="spellEnd"/>
      <w:r w:rsidR="00452306" w:rsidRPr="001B3EA2">
        <w:rPr>
          <w:rFonts w:cs="Times New Roman"/>
          <w:i/>
          <w:color w:val="000000" w:themeColor="text1"/>
        </w:rPr>
        <w:t xml:space="preserve"> de </w:t>
      </w:r>
      <w:proofErr w:type="spellStart"/>
      <w:r w:rsidR="00452306" w:rsidRPr="001B3EA2">
        <w:rPr>
          <w:rFonts w:cs="Times New Roman"/>
          <w:i/>
          <w:color w:val="000000" w:themeColor="text1"/>
        </w:rPr>
        <w:t>Administración</w:t>
      </w:r>
      <w:proofErr w:type="spellEnd"/>
      <w:r w:rsidR="00452306" w:rsidRPr="001B3EA2">
        <w:rPr>
          <w:rFonts w:cs="Times New Roman"/>
          <w:i/>
          <w:color w:val="000000" w:themeColor="text1"/>
        </w:rPr>
        <w:t xml:space="preserve">, </w:t>
      </w:r>
      <w:r w:rsidR="00452306" w:rsidRPr="001B3EA2">
        <w:rPr>
          <w:rFonts w:cs="Times New Roman"/>
          <w:color w:val="000000" w:themeColor="text1"/>
        </w:rPr>
        <w:t>v. 4, No. 43, pp. 157-176.</w:t>
      </w:r>
      <w:proofErr w:type="gramEnd"/>
      <w:r w:rsidR="00452306" w:rsidRPr="001B3EA2">
        <w:rPr>
          <w:rFonts w:cs="Times New Roman"/>
          <w:color w:val="000000" w:themeColor="text1"/>
        </w:rPr>
        <w:t xml:space="preserve"> </w:t>
      </w:r>
    </w:p>
    <w:p w:rsidR="00452306" w:rsidRPr="001B3EA2" w:rsidRDefault="00C53A57" w:rsidP="009561DB">
      <w:pPr>
        <w:spacing w:after="0"/>
        <w:ind w:left="720" w:hanging="720"/>
        <w:jc w:val="both"/>
        <w:textAlignment w:val="baseline"/>
        <w:rPr>
          <w:rFonts w:eastAsia="Times New Roman" w:cs="Times New Roman"/>
          <w:color w:val="000000" w:themeColor="text1"/>
          <w:lang w:eastAsia="es-ES"/>
        </w:rPr>
      </w:pPr>
      <w:r>
        <w:rPr>
          <w:rFonts w:eastAsia="Times New Roman" w:cs="Times New Roman"/>
          <w:color w:val="000000" w:themeColor="text1"/>
          <w:lang w:eastAsia="es-ES"/>
        </w:rPr>
        <w:t>Ho, V. 2013</w:t>
      </w:r>
      <w:r w:rsidR="00452306" w:rsidRPr="001B3EA2">
        <w:rPr>
          <w:rFonts w:eastAsia="Times New Roman" w:cs="Times New Roman"/>
          <w:color w:val="000000" w:themeColor="text1"/>
          <w:lang w:eastAsia="es-ES"/>
        </w:rPr>
        <w:t xml:space="preserve">. </w:t>
      </w:r>
      <w:r>
        <w:rPr>
          <w:rFonts w:eastAsia="Times New Roman" w:cs="Times New Roman"/>
          <w:color w:val="000000" w:themeColor="text1"/>
          <w:lang w:eastAsia="es-ES"/>
        </w:rPr>
        <w:t>‘</w:t>
      </w:r>
      <w:r w:rsidR="00452306" w:rsidRPr="001B3EA2">
        <w:rPr>
          <w:rFonts w:eastAsia="Times New Roman" w:cs="Times New Roman"/>
          <w:color w:val="000000" w:themeColor="text1"/>
          <w:lang w:eastAsia="es-ES"/>
        </w:rPr>
        <w:t>Beyond Regulation: A Comparative Look at State-Centric Corporate Social Responsibility and the Law in China</w:t>
      </w:r>
      <w:r>
        <w:rPr>
          <w:rFonts w:eastAsia="Times New Roman" w:cs="Times New Roman"/>
          <w:color w:val="000000" w:themeColor="text1"/>
          <w:lang w:eastAsia="es-ES"/>
        </w:rPr>
        <w:t>’</w:t>
      </w:r>
      <w:r w:rsidR="00452306" w:rsidRPr="001B3EA2">
        <w:rPr>
          <w:rFonts w:eastAsia="Times New Roman" w:cs="Times New Roman"/>
          <w:color w:val="000000" w:themeColor="text1"/>
          <w:lang w:eastAsia="es-ES"/>
        </w:rPr>
        <w:t xml:space="preserve">. Vanderbilt Journal </w:t>
      </w:r>
      <w:proofErr w:type="gramStart"/>
      <w:r w:rsidR="00452306" w:rsidRPr="001B3EA2">
        <w:rPr>
          <w:rFonts w:eastAsia="Times New Roman" w:cs="Times New Roman"/>
          <w:color w:val="000000" w:themeColor="text1"/>
          <w:lang w:eastAsia="es-ES"/>
        </w:rPr>
        <w:t>Of</w:t>
      </w:r>
      <w:proofErr w:type="gramEnd"/>
      <w:r w:rsidR="00452306" w:rsidRPr="001B3EA2">
        <w:rPr>
          <w:rFonts w:eastAsia="Times New Roman" w:cs="Times New Roman"/>
          <w:color w:val="000000" w:themeColor="text1"/>
          <w:lang w:eastAsia="es-ES"/>
        </w:rPr>
        <w:t xml:space="preserve"> Transnational Law, 46(2), 375-442. </w:t>
      </w:r>
    </w:p>
    <w:p w:rsidR="00452306" w:rsidRPr="001B3EA2" w:rsidRDefault="00C53A57" w:rsidP="009561DB">
      <w:pPr>
        <w:spacing w:after="0"/>
        <w:ind w:left="720" w:hanging="720"/>
        <w:jc w:val="both"/>
        <w:textAlignment w:val="baseline"/>
        <w:rPr>
          <w:rFonts w:eastAsia="Times New Roman" w:cs="Times New Roman"/>
          <w:color w:val="000000" w:themeColor="text1"/>
          <w:lang w:eastAsia="es-ES"/>
        </w:rPr>
      </w:pPr>
      <w:proofErr w:type="spellStart"/>
      <w:r>
        <w:rPr>
          <w:rFonts w:eastAsia="Times New Roman" w:cs="Times New Roman"/>
          <w:color w:val="000000" w:themeColor="text1"/>
          <w:lang w:eastAsia="es-ES"/>
        </w:rPr>
        <w:t>Ip</w:t>
      </w:r>
      <w:proofErr w:type="spellEnd"/>
      <w:r>
        <w:rPr>
          <w:rFonts w:eastAsia="Times New Roman" w:cs="Times New Roman"/>
          <w:color w:val="000000" w:themeColor="text1"/>
          <w:lang w:eastAsia="es-ES"/>
        </w:rPr>
        <w:t>, P. 2009</w:t>
      </w:r>
      <w:r w:rsidR="00452306" w:rsidRPr="001B3EA2">
        <w:rPr>
          <w:rFonts w:eastAsia="Times New Roman" w:cs="Times New Roman"/>
          <w:color w:val="000000" w:themeColor="text1"/>
          <w:lang w:eastAsia="es-ES"/>
        </w:rPr>
        <w:t xml:space="preserve">. </w:t>
      </w:r>
      <w:r>
        <w:rPr>
          <w:rFonts w:eastAsia="Times New Roman" w:cs="Times New Roman"/>
          <w:color w:val="000000" w:themeColor="text1"/>
          <w:lang w:eastAsia="es-ES"/>
        </w:rPr>
        <w:t>‘</w:t>
      </w:r>
      <w:r w:rsidR="00452306" w:rsidRPr="001B3EA2">
        <w:rPr>
          <w:rFonts w:eastAsia="Times New Roman" w:cs="Times New Roman"/>
          <w:color w:val="000000" w:themeColor="text1"/>
          <w:lang w:eastAsia="es-ES"/>
        </w:rPr>
        <w:t>Is Confucianism Good for Business Ethics in China?</w:t>
      </w:r>
      <w:proofErr w:type="gramStart"/>
      <w:r>
        <w:rPr>
          <w:rFonts w:eastAsia="Times New Roman" w:cs="Times New Roman"/>
          <w:color w:val="000000" w:themeColor="text1"/>
          <w:lang w:eastAsia="es-ES"/>
        </w:rPr>
        <w:t>’</w:t>
      </w:r>
      <w:r w:rsidR="00452306" w:rsidRPr="001B3EA2">
        <w:rPr>
          <w:rFonts w:eastAsia="Times New Roman" w:cs="Times New Roman"/>
          <w:color w:val="000000" w:themeColor="text1"/>
          <w:lang w:eastAsia="es-ES"/>
        </w:rPr>
        <w:t>.</w:t>
      </w:r>
      <w:proofErr w:type="gramEnd"/>
      <w:r w:rsidR="00452306" w:rsidRPr="001B3EA2">
        <w:rPr>
          <w:rFonts w:eastAsia="Times New Roman" w:cs="Times New Roman"/>
          <w:color w:val="000000" w:themeColor="text1"/>
          <w:lang w:eastAsia="es-ES"/>
        </w:rPr>
        <w:t xml:space="preserve"> Journal </w:t>
      </w:r>
      <w:proofErr w:type="gramStart"/>
      <w:r w:rsidR="00452306" w:rsidRPr="001B3EA2">
        <w:rPr>
          <w:rFonts w:eastAsia="Times New Roman" w:cs="Times New Roman"/>
          <w:color w:val="000000" w:themeColor="text1"/>
          <w:lang w:eastAsia="es-ES"/>
        </w:rPr>
        <w:t>Of</w:t>
      </w:r>
      <w:proofErr w:type="gramEnd"/>
      <w:r w:rsidR="00452306" w:rsidRPr="001B3EA2">
        <w:rPr>
          <w:rFonts w:eastAsia="Times New Roman" w:cs="Times New Roman"/>
          <w:color w:val="000000" w:themeColor="text1"/>
          <w:lang w:eastAsia="es-ES"/>
        </w:rPr>
        <w:t xml:space="preserve"> Business Ethics, 88(3), 463-476. </w:t>
      </w:r>
    </w:p>
    <w:p w:rsidR="00452306" w:rsidRPr="001B3EA2" w:rsidRDefault="00C53A57" w:rsidP="009561DB">
      <w:pPr>
        <w:spacing w:after="0"/>
        <w:ind w:left="720" w:hanging="720"/>
        <w:jc w:val="both"/>
        <w:textAlignment w:val="baseline"/>
        <w:rPr>
          <w:rFonts w:eastAsia="Times New Roman" w:cs="Times New Roman"/>
          <w:color w:val="000000" w:themeColor="text1"/>
          <w:lang w:eastAsia="es-ES"/>
        </w:rPr>
      </w:pPr>
      <w:proofErr w:type="spellStart"/>
      <w:r>
        <w:rPr>
          <w:rFonts w:eastAsia="Times New Roman" w:cs="Times New Roman"/>
          <w:color w:val="000000" w:themeColor="text1"/>
          <w:lang w:eastAsia="es-ES"/>
        </w:rPr>
        <w:t>Ip</w:t>
      </w:r>
      <w:proofErr w:type="spellEnd"/>
      <w:r>
        <w:rPr>
          <w:rFonts w:eastAsia="Times New Roman" w:cs="Times New Roman"/>
          <w:color w:val="000000" w:themeColor="text1"/>
          <w:lang w:eastAsia="es-ES"/>
        </w:rPr>
        <w:t>, P. 2003</w:t>
      </w:r>
      <w:r w:rsidR="00452306" w:rsidRPr="001B3EA2">
        <w:rPr>
          <w:rFonts w:eastAsia="Times New Roman" w:cs="Times New Roman"/>
          <w:color w:val="000000" w:themeColor="text1"/>
          <w:lang w:eastAsia="es-ES"/>
        </w:rPr>
        <w:t xml:space="preserve">. </w:t>
      </w:r>
      <w:proofErr w:type="gramStart"/>
      <w:r w:rsidR="00452306" w:rsidRPr="001B3EA2">
        <w:rPr>
          <w:rFonts w:eastAsia="Times New Roman" w:cs="Times New Roman"/>
          <w:color w:val="000000" w:themeColor="text1"/>
          <w:lang w:eastAsia="es-ES"/>
        </w:rPr>
        <w:t>Business ethics and a state–owned enterprise in China.</w:t>
      </w:r>
      <w:proofErr w:type="gramEnd"/>
      <w:r w:rsidR="00452306" w:rsidRPr="001B3EA2">
        <w:rPr>
          <w:rFonts w:eastAsia="Times New Roman" w:cs="Times New Roman"/>
          <w:color w:val="000000" w:themeColor="text1"/>
          <w:lang w:eastAsia="es-ES"/>
        </w:rPr>
        <w:t> Business Ethics: A European Review, 12(1), 64-77.</w:t>
      </w:r>
    </w:p>
    <w:p w:rsidR="00B16A9E" w:rsidRPr="002C3E26" w:rsidRDefault="00C53A57" w:rsidP="009561DB">
      <w:pPr>
        <w:spacing w:after="0"/>
        <w:ind w:left="708" w:hanging="708"/>
        <w:jc w:val="both"/>
        <w:rPr>
          <w:rFonts w:cs="Times New Roman"/>
        </w:rPr>
      </w:pPr>
      <w:proofErr w:type="gramStart"/>
      <w:r>
        <w:rPr>
          <w:rFonts w:cs="Times New Roman"/>
        </w:rPr>
        <w:t>Jessop, B. 2008</w:t>
      </w:r>
      <w:r w:rsidR="00AF0329">
        <w:rPr>
          <w:rFonts w:cs="Times New Roman"/>
        </w:rPr>
        <w:t>.</w:t>
      </w:r>
      <w:proofErr w:type="gramEnd"/>
      <w:r w:rsidR="00AF0329">
        <w:rPr>
          <w:rFonts w:cs="Times New Roman"/>
        </w:rPr>
        <w:t xml:space="preserve"> </w:t>
      </w:r>
      <w:r w:rsidR="00B16A9E" w:rsidRPr="002C3E26">
        <w:rPr>
          <w:rFonts w:cs="Times New Roman"/>
        </w:rPr>
        <w:t>State Power: A strategic-relational approach (Cambridge: Polity).</w:t>
      </w:r>
    </w:p>
    <w:p w:rsidR="00080DC1" w:rsidRPr="001B3EA2" w:rsidRDefault="00452306" w:rsidP="009561DB">
      <w:pPr>
        <w:pStyle w:val="NormalWeb"/>
        <w:spacing w:before="0" w:beforeAutospacing="0" w:after="0" w:afterAutospacing="0"/>
        <w:ind w:left="720" w:hanging="720"/>
        <w:jc w:val="both"/>
        <w:textAlignment w:val="baseline"/>
        <w:rPr>
          <w:rFonts w:eastAsiaTheme="minorHAnsi"/>
          <w:color w:val="000000" w:themeColor="text1"/>
          <w:lang w:val="en-US" w:eastAsia="en-US"/>
        </w:rPr>
      </w:pPr>
      <w:r w:rsidRPr="00B16A9E">
        <w:rPr>
          <w:rFonts w:eastAsiaTheme="minorHAnsi"/>
          <w:color w:val="000000" w:themeColor="text1"/>
          <w:lang w:eastAsia="en-US"/>
        </w:rPr>
        <w:t xml:space="preserve">Jones, T. M., &amp; </w:t>
      </w:r>
      <w:proofErr w:type="spellStart"/>
      <w:r w:rsidRPr="00B16A9E">
        <w:rPr>
          <w:rFonts w:eastAsiaTheme="minorHAnsi"/>
          <w:color w:val="000000" w:themeColor="text1"/>
          <w:lang w:eastAsia="en-US"/>
        </w:rPr>
        <w:t>Felps</w:t>
      </w:r>
      <w:proofErr w:type="spellEnd"/>
      <w:r w:rsidRPr="00B16A9E">
        <w:rPr>
          <w:rFonts w:eastAsiaTheme="minorHAnsi"/>
          <w:color w:val="000000" w:themeColor="text1"/>
          <w:lang w:eastAsia="en-US"/>
        </w:rPr>
        <w:t xml:space="preserve">, W. (2013). </w:t>
      </w:r>
      <w:r w:rsidRPr="001B3EA2">
        <w:rPr>
          <w:rFonts w:eastAsiaTheme="minorHAnsi"/>
          <w:color w:val="000000" w:themeColor="text1"/>
          <w:lang w:val="en-US" w:eastAsia="en-US"/>
        </w:rPr>
        <w:t>Shareholder Wealth Maximization and Social Welfare: A Utilitarian Critique. Business Ethics Quarterly, 23(2), 207-238.</w:t>
      </w:r>
    </w:p>
    <w:p w:rsidR="00452306" w:rsidRPr="001B3EA2" w:rsidRDefault="00B825C8" w:rsidP="009561DB">
      <w:pPr>
        <w:pStyle w:val="NormalWeb"/>
        <w:spacing w:before="0" w:beforeAutospacing="0" w:after="0" w:afterAutospacing="0"/>
        <w:ind w:left="720" w:hanging="720"/>
        <w:jc w:val="both"/>
        <w:textAlignment w:val="baseline"/>
        <w:rPr>
          <w:color w:val="000000" w:themeColor="text1"/>
          <w:shd w:val="clear" w:color="auto" w:fill="FFFFFF"/>
          <w:lang w:val="en-US"/>
        </w:rPr>
      </w:pPr>
      <w:r w:rsidRPr="00993183">
        <w:rPr>
          <w:rFonts w:eastAsiaTheme="minorHAnsi"/>
          <w:color w:val="000000" w:themeColor="text1"/>
          <w:lang w:eastAsia="en-US"/>
        </w:rPr>
        <w:t xml:space="preserve">Jones, T. M., &amp; </w:t>
      </w:r>
      <w:proofErr w:type="spellStart"/>
      <w:r w:rsidRPr="00993183">
        <w:rPr>
          <w:rFonts w:eastAsiaTheme="minorHAnsi"/>
          <w:color w:val="000000" w:themeColor="text1"/>
          <w:lang w:eastAsia="en-US"/>
        </w:rPr>
        <w:t>Felps</w:t>
      </w:r>
      <w:proofErr w:type="spellEnd"/>
      <w:r w:rsidRPr="00993183">
        <w:rPr>
          <w:rFonts w:eastAsiaTheme="minorHAnsi"/>
          <w:color w:val="000000" w:themeColor="text1"/>
          <w:lang w:eastAsia="en-US"/>
        </w:rPr>
        <w:t xml:space="preserve">, W. (2013). </w:t>
      </w:r>
      <w:r w:rsidRPr="001B3EA2">
        <w:rPr>
          <w:color w:val="000000" w:themeColor="text1"/>
          <w:shd w:val="clear" w:color="auto" w:fill="FFFFFF"/>
          <w:lang w:val="en-US"/>
        </w:rPr>
        <w:t>Stakeholder Happiness Enhancement: A Neo-Utilitarian Objective</w:t>
      </w:r>
      <w:r w:rsidR="00315BC2" w:rsidRPr="001B3EA2">
        <w:rPr>
          <w:color w:val="000000" w:themeColor="text1"/>
          <w:shd w:val="clear" w:color="auto" w:fill="FFFFFF"/>
          <w:lang w:val="en-US"/>
        </w:rPr>
        <w:t xml:space="preserve"> </w:t>
      </w:r>
      <w:r w:rsidRPr="001B3EA2">
        <w:rPr>
          <w:color w:val="000000" w:themeColor="text1"/>
          <w:shd w:val="clear" w:color="auto" w:fill="FFFFFF"/>
          <w:lang w:val="en-US"/>
        </w:rPr>
        <w:t>for</w:t>
      </w:r>
      <w:r w:rsidR="00315BC2" w:rsidRPr="001B3EA2">
        <w:rPr>
          <w:color w:val="000000" w:themeColor="text1"/>
          <w:lang w:val="en-US"/>
        </w:rPr>
        <w:t xml:space="preserve"> </w:t>
      </w:r>
      <w:r w:rsidRPr="001B3EA2">
        <w:rPr>
          <w:color w:val="000000" w:themeColor="text1"/>
          <w:shd w:val="clear" w:color="auto" w:fill="FFFFFF"/>
          <w:lang w:val="en-US"/>
        </w:rPr>
        <w:t>the Modern Corporation. Business</w:t>
      </w:r>
      <w:r w:rsidR="00080DC1" w:rsidRPr="001B3EA2">
        <w:rPr>
          <w:color w:val="000000" w:themeColor="text1"/>
          <w:shd w:val="clear" w:color="auto" w:fill="FFFFFF"/>
          <w:lang w:val="en-US"/>
        </w:rPr>
        <w:t xml:space="preserve"> </w:t>
      </w:r>
      <w:r w:rsidR="00315BC2" w:rsidRPr="001B3EA2">
        <w:rPr>
          <w:color w:val="000000" w:themeColor="text1"/>
          <w:shd w:val="clear" w:color="auto" w:fill="FFFFFF"/>
          <w:lang w:val="en-US"/>
        </w:rPr>
        <w:t>Ethics Quarterly,</w:t>
      </w:r>
      <w:r w:rsidRPr="001B3EA2">
        <w:rPr>
          <w:color w:val="000000" w:themeColor="text1"/>
          <w:shd w:val="clear" w:color="auto" w:fill="FFFFFF"/>
          <w:lang w:val="en-US"/>
        </w:rPr>
        <w:t xml:space="preserve"> 23 </w:t>
      </w:r>
      <w:r w:rsidR="00315BC2" w:rsidRPr="001B3EA2">
        <w:rPr>
          <w:color w:val="000000" w:themeColor="text1"/>
          <w:shd w:val="clear" w:color="auto" w:fill="FFFFFF"/>
          <w:lang w:val="en-US"/>
        </w:rPr>
        <w:t>(</w:t>
      </w:r>
      <w:r w:rsidRPr="001B3EA2">
        <w:rPr>
          <w:color w:val="000000" w:themeColor="text1"/>
          <w:shd w:val="clear" w:color="auto" w:fill="FFFFFF"/>
          <w:lang w:val="en-US"/>
        </w:rPr>
        <w:t>3</w:t>
      </w:r>
      <w:r w:rsidR="00315BC2" w:rsidRPr="001B3EA2">
        <w:rPr>
          <w:color w:val="000000" w:themeColor="text1"/>
          <w:shd w:val="clear" w:color="auto" w:fill="FFFFFF"/>
          <w:lang w:val="en-US"/>
        </w:rPr>
        <w:t xml:space="preserve">), </w:t>
      </w:r>
      <w:r w:rsidRPr="001B3EA2">
        <w:rPr>
          <w:color w:val="000000" w:themeColor="text1"/>
          <w:shd w:val="clear" w:color="auto" w:fill="FFFFFF"/>
          <w:lang w:val="en-US"/>
        </w:rPr>
        <w:t>349-379.</w:t>
      </w:r>
      <w:r w:rsidRPr="001B3EA2">
        <w:rPr>
          <w:rStyle w:val="apple-converted-space"/>
          <w:color w:val="000000" w:themeColor="text1"/>
          <w:shd w:val="clear" w:color="auto" w:fill="FFFFFF"/>
          <w:lang w:val="en-US"/>
        </w:rPr>
        <w:t> </w:t>
      </w:r>
      <w:r w:rsidR="00452306" w:rsidRPr="001B3EA2">
        <w:rPr>
          <w:rFonts w:eastAsiaTheme="minorHAnsi"/>
          <w:color w:val="000000" w:themeColor="text1"/>
          <w:lang w:val="en-US" w:eastAsia="en-US"/>
        </w:rPr>
        <w:t xml:space="preserve"> </w:t>
      </w:r>
    </w:p>
    <w:p w:rsidR="00452306" w:rsidRPr="001B3EA2" w:rsidRDefault="00452306" w:rsidP="009561DB">
      <w:pPr>
        <w:spacing w:after="0"/>
        <w:ind w:left="709" w:hanging="709"/>
        <w:jc w:val="both"/>
        <w:rPr>
          <w:rFonts w:cs="Times New Roman"/>
          <w:color w:val="000000" w:themeColor="text1"/>
        </w:rPr>
      </w:pPr>
      <w:proofErr w:type="spellStart"/>
      <w:r w:rsidRPr="00993183">
        <w:rPr>
          <w:rFonts w:cs="Times New Roman"/>
          <w:color w:val="000000" w:themeColor="text1"/>
          <w:lang w:val="es-CO"/>
        </w:rPr>
        <w:t>Jos</w:t>
      </w:r>
      <w:proofErr w:type="spellEnd"/>
      <w:r w:rsidRPr="00993183">
        <w:rPr>
          <w:rFonts w:cs="Times New Roman"/>
          <w:color w:val="000000" w:themeColor="text1"/>
          <w:lang w:val="es-CO"/>
        </w:rPr>
        <w:t xml:space="preserve"> G. Sisón, A., Hartman, E. M., &amp; </w:t>
      </w:r>
      <w:proofErr w:type="spellStart"/>
      <w:r w:rsidRPr="00993183">
        <w:rPr>
          <w:rFonts w:cs="Times New Roman"/>
          <w:color w:val="000000" w:themeColor="text1"/>
          <w:lang w:val="es-CO"/>
        </w:rPr>
        <w:t>Fontrodona</w:t>
      </w:r>
      <w:proofErr w:type="spellEnd"/>
      <w:r w:rsidRPr="00993183">
        <w:rPr>
          <w:rFonts w:cs="Times New Roman"/>
          <w:color w:val="000000" w:themeColor="text1"/>
          <w:lang w:val="es-CO"/>
        </w:rPr>
        <w:t xml:space="preserve">, J. (2012). </w:t>
      </w:r>
      <w:r w:rsidRPr="001B3EA2">
        <w:rPr>
          <w:rFonts w:cs="Times New Roman"/>
          <w:color w:val="000000" w:themeColor="text1"/>
        </w:rPr>
        <w:t>Guest Editors' Introduction Reviving Tradition: Virtue and the Common Good in Business and Management. Business Ethics Quarterly, 22(2), 207-210. </w:t>
      </w:r>
    </w:p>
    <w:p w:rsidR="00315BC2" w:rsidRPr="001B3EA2" w:rsidRDefault="00315BC2" w:rsidP="009561DB">
      <w:pPr>
        <w:spacing w:after="0"/>
        <w:ind w:left="709" w:hanging="709"/>
        <w:jc w:val="both"/>
        <w:rPr>
          <w:rFonts w:cs="Times New Roman"/>
          <w:color w:val="000000" w:themeColor="text1"/>
        </w:rPr>
      </w:pPr>
      <w:proofErr w:type="gramStart"/>
      <w:r w:rsidRPr="001B3EA2">
        <w:rPr>
          <w:rFonts w:cs="Times New Roman"/>
          <w:color w:val="000000" w:themeColor="text1"/>
        </w:rPr>
        <w:t>May, T. (2011).</w:t>
      </w:r>
      <w:proofErr w:type="gramEnd"/>
      <w:r w:rsidRPr="001B3EA2">
        <w:rPr>
          <w:rFonts w:cs="Times New Roman"/>
          <w:color w:val="000000" w:themeColor="text1"/>
        </w:rPr>
        <w:t xml:space="preserve"> </w:t>
      </w:r>
      <w:proofErr w:type="gramStart"/>
      <w:r w:rsidRPr="001B3EA2">
        <w:rPr>
          <w:rFonts w:cs="Times New Roman"/>
          <w:i/>
          <w:color w:val="000000" w:themeColor="text1"/>
        </w:rPr>
        <w:t>Social Research.</w:t>
      </w:r>
      <w:proofErr w:type="gramEnd"/>
      <w:r w:rsidRPr="001B3EA2">
        <w:rPr>
          <w:rFonts w:cs="Times New Roman"/>
          <w:i/>
          <w:color w:val="000000" w:themeColor="text1"/>
        </w:rPr>
        <w:t xml:space="preserve"> Issues, methods and process </w:t>
      </w:r>
      <w:r w:rsidRPr="001B3EA2">
        <w:rPr>
          <w:rFonts w:cs="Times New Roman"/>
          <w:color w:val="000000" w:themeColor="text1"/>
        </w:rPr>
        <w:t xml:space="preserve">(4 </w:t>
      </w:r>
      <w:proofErr w:type="gramStart"/>
      <w:r w:rsidRPr="001B3EA2">
        <w:rPr>
          <w:rFonts w:cs="Times New Roman"/>
          <w:color w:val="000000" w:themeColor="text1"/>
        </w:rPr>
        <w:t>ed</w:t>
      </w:r>
      <w:proofErr w:type="gramEnd"/>
      <w:r w:rsidRPr="001B3EA2">
        <w:rPr>
          <w:rFonts w:cs="Times New Roman"/>
          <w:color w:val="000000" w:themeColor="text1"/>
        </w:rPr>
        <w:t>.). Berkshire: Open University Press.</w:t>
      </w:r>
    </w:p>
    <w:p w:rsidR="00250465" w:rsidRPr="0066047C" w:rsidRDefault="00EC156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66047C">
        <w:rPr>
          <w:color w:val="000000" w:themeColor="text1"/>
          <w:lang w:val="en-US"/>
        </w:rPr>
        <w:t>Mazzucato</w:t>
      </w:r>
      <w:proofErr w:type="spellEnd"/>
      <w:r w:rsidRPr="0066047C">
        <w:rPr>
          <w:color w:val="000000" w:themeColor="text1"/>
          <w:lang w:val="en-US"/>
        </w:rPr>
        <w:t xml:space="preserve">, M. 2011. </w:t>
      </w:r>
      <w:proofErr w:type="gramStart"/>
      <w:r w:rsidR="00A95695" w:rsidRPr="0066047C">
        <w:rPr>
          <w:color w:val="000000" w:themeColor="text1"/>
          <w:lang w:val="en-US"/>
        </w:rPr>
        <w:t>The entrepreneurial state.</w:t>
      </w:r>
      <w:proofErr w:type="gramEnd"/>
      <w:r w:rsidR="00A95695" w:rsidRPr="0066047C">
        <w:rPr>
          <w:color w:val="000000" w:themeColor="text1"/>
          <w:lang w:val="en-US"/>
        </w:rPr>
        <w:t xml:space="preserve"> Soundings, 49, 131-142. </w:t>
      </w:r>
    </w:p>
    <w:p w:rsidR="00A95695" w:rsidRPr="001B3EA2" w:rsidRDefault="00A95695" w:rsidP="009561DB">
      <w:pPr>
        <w:pStyle w:val="NormalWeb"/>
        <w:spacing w:before="0" w:beforeAutospacing="0" w:after="0" w:afterAutospacing="0"/>
        <w:ind w:left="720" w:hanging="720"/>
        <w:jc w:val="both"/>
        <w:textAlignment w:val="baseline"/>
        <w:rPr>
          <w:color w:val="000000" w:themeColor="text1"/>
          <w:lang w:val="en-US"/>
        </w:rPr>
      </w:pPr>
      <w:proofErr w:type="spellStart"/>
      <w:r w:rsidRPr="0066047C">
        <w:rPr>
          <w:color w:val="000000" w:themeColor="text1"/>
          <w:lang w:val="en-US"/>
        </w:rPr>
        <w:t>Mazzucato</w:t>
      </w:r>
      <w:proofErr w:type="spellEnd"/>
      <w:r w:rsidRPr="0066047C">
        <w:rPr>
          <w:color w:val="000000" w:themeColor="text1"/>
          <w:lang w:val="en-US"/>
        </w:rPr>
        <w:t xml:space="preserve">, M. 2013. </w:t>
      </w:r>
      <w:proofErr w:type="gramStart"/>
      <w:r w:rsidRPr="0066047C">
        <w:rPr>
          <w:color w:val="000000" w:themeColor="text1"/>
          <w:lang w:val="en-US"/>
        </w:rPr>
        <w:t>The entrepreneurial state.</w:t>
      </w:r>
      <w:proofErr w:type="gramEnd"/>
      <w:r w:rsidRPr="0066047C">
        <w:rPr>
          <w:color w:val="000000" w:themeColor="text1"/>
          <w:lang w:val="en-US"/>
        </w:rPr>
        <w:t xml:space="preserve"> </w:t>
      </w:r>
      <w:proofErr w:type="gramStart"/>
      <w:r w:rsidRPr="001B3EA2">
        <w:rPr>
          <w:color w:val="000000" w:themeColor="text1"/>
          <w:lang w:val="en-US"/>
        </w:rPr>
        <w:t>Debunking public vs. private sector myths.</w:t>
      </w:r>
      <w:proofErr w:type="gramEnd"/>
      <w:r w:rsidRPr="001B3EA2">
        <w:rPr>
          <w:color w:val="000000" w:themeColor="text1"/>
          <w:lang w:val="en-US"/>
        </w:rPr>
        <w:t xml:space="preserve"> London: Anthem Press. </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1B3EA2">
        <w:rPr>
          <w:color w:val="000000" w:themeColor="text1"/>
          <w:lang w:val="en-US"/>
        </w:rPr>
        <w:t>Melé</w:t>
      </w:r>
      <w:proofErr w:type="spellEnd"/>
      <w:r w:rsidRPr="001B3EA2">
        <w:rPr>
          <w:color w:val="000000" w:themeColor="text1"/>
          <w:lang w:val="en-US"/>
        </w:rPr>
        <w:t>, D.: 2002, Not only Stakeholder Interests. The Firm Oriented toward the Common Good (University of Notre Dame Press, Notre Dame).</w:t>
      </w:r>
    </w:p>
    <w:p w:rsidR="00C9442E" w:rsidRPr="001B3EA2" w:rsidRDefault="00B825C8" w:rsidP="009561DB">
      <w:pPr>
        <w:spacing w:after="0"/>
        <w:ind w:left="709" w:hanging="709"/>
        <w:jc w:val="both"/>
        <w:rPr>
          <w:rFonts w:cs="Times New Roman"/>
          <w:color w:val="000000" w:themeColor="text1"/>
          <w:lang w:val="es-CO"/>
        </w:rPr>
      </w:pPr>
      <w:r w:rsidRPr="001B3EA2">
        <w:rPr>
          <w:rFonts w:cs="Times New Roman"/>
          <w:color w:val="000000" w:themeColor="text1"/>
          <w:lang w:val="es-CO"/>
        </w:rPr>
        <w:t>Mendoza, X. (1991). Algunas reflexiones acera de la ‘</w:t>
      </w:r>
      <w:proofErr w:type="spellStart"/>
      <w:r w:rsidRPr="001B3EA2">
        <w:rPr>
          <w:rFonts w:cs="Times New Roman"/>
          <w:color w:val="000000" w:themeColor="text1"/>
          <w:lang w:val="es-CO"/>
        </w:rPr>
        <w:t>transicion</w:t>
      </w:r>
      <w:proofErr w:type="spellEnd"/>
      <w:r w:rsidRPr="001B3EA2">
        <w:rPr>
          <w:rFonts w:cs="Times New Roman"/>
          <w:color w:val="000000" w:themeColor="text1"/>
          <w:lang w:val="es-CO"/>
        </w:rPr>
        <w:t xml:space="preserve"> al mercado’ de los </w:t>
      </w:r>
      <w:proofErr w:type="spellStart"/>
      <w:r w:rsidRPr="001B3EA2">
        <w:rPr>
          <w:rFonts w:cs="Times New Roman"/>
          <w:color w:val="000000" w:themeColor="text1"/>
          <w:lang w:val="es-CO"/>
        </w:rPr>
        <w:t>servicos</w:t>
      </w:r>
      <w:proofErr w:type="spellEnd"/>
      <w:r w:rsidRPr="001B3EA2">
        <w:rPr>
          <w:rFonts w:cs="Times New Roman"/>
          <w:color w:val="000000" w:themeColor="text1"/>
          <w:lang w:val="es-CO"/>
        </w:rPr>
        <w:t xml:space="preserve"> sociales. </w:t>
      </w:r>
      <w:proofErr w:type="spellStart"/>
      <w:r w:rsidRPr="001B3EA2">
        <w:rPr>
          <w:rFonts w:cs="Times New Roman"/>
          <w:color w:val="000000" w:themeColor="text1"/>
          <w:lang w:val="es-CO"/>
        </w:rPr>
        <w:t>Paper</w:t>
      </w:r>
      <w:proofErr w:type="spellEnd"/>
      <w:r w:rsidRPr="001B3EA2">
        <w:rPr>
          <w:rFonts w:cs="Times New Roman"/>
          <w:color w:val="000000" w:themeColor="text1"/>
          <w:lang w:val="es-CO"/>
        </w:rPr>
        <w:t xml:space="preserve"> </w:t>
      </w:r>
      <w:proofErr w:type="spellStart"/>
      <w:r w:rsidRPr="001B3EA2">
        <w:rPr>
          <w:rFonts w:cs="Times New Roman"/>
          <w:color w:val="000000" w:themeColor="text1"/>
          <w:lang w:val="es-CO"/>
        </w:rPr>
        <w:t>presented</w:t>
      </w:r>
      <w:proofErr w:type="spellEnd"/>
      <w:r w:rsidRPr="001B3EA2">
        <w:rPr>
          <w:rFonts w:cs="Times New Roman"/>
          <w:color w:val="000000" w:themeColor="text1"/>
          <w:lang w:val="es-CO"/>
        </w:rPr>
        <w:t xml:space="preserve"> at </w:t>
      </w:r>
      <w:proofErr w:type="spellStart"/>
      <w:r w:rsidRPr="001B3EA2">
        <w:rPr>
          <w:rFonts w:cs="Times New Roman"/>
          <w:color w:val="000000" w:themeColor="text1"/>
          <w:lang w:val="es-CO"/>
        </w:rPr>
        <w:t>Jornades</w:t>
      </w:r>
      <w:proofErr w:type="spellEnd"/>
      <w:r w:rsidRPr="001B3EA2">
        <w:rPr>
          <w:rFonts w:cs="Times New Roman"/>
          <w:color w:val="000000" w:themeColor="text1"/>
          <w:lang w:val="es-CO"/>
        </w:rPr>
        <w:t xml:space="preserve"> </w:t>
      </w:r>
      <w:proofErr w:type="spellStart"/>
      <w:r w:rsidRPr="001B3EA2">
        <w:rPr>
          <w:rFonts w:cs="Times New Roman"/>
          <w:color w:val="000000" w:themeColor="text1"/>
          <w:lang w:val="es-CO"/>
        </w:rPr>
        <w:t>Public-Privat</w:t>
      </w:r>
      <w:proofErr w:type="spellEnd"/>
      <w:r w:rsidRPr="001B3EA2">
        <w:rPr>
          <w:rFonts w:cs="Times New Roman"/>
          <w:color w:val="000000" w:themeColor="text1"/>
          <w:lang w:val="es-CO"/>
        </w:rPr>
        <w:t xml:space="preserve"> i </w:t>
      </w:r>
      <w:proofErr w:type="spellStart"/>
      <w:r w:rsidRPr="001B3EA2">
        <w:rPr>
          <w:rFonts w:cs="Times New Roman"/>
          <w:color w:val="000000" w:themeColor="text1"/>
          <w:lang w:val="es-CO"/>
        </w:rPr>
        <w:t>Benestar</w:t>
      </w:r>
      <w:proofErr w:type="spellEnd"/>
      <w:r w:rsidRPr="001B3EA2">
        <w:rPr>
          <w:rFonts w:cs="Times New Roman"/>
          <w:color w:val="000000" w:themeColor="text1"/>
          <w:lang w:val="es-CO"/>
        </w:rPr>
        <w:t xml:space="preserve"> Social, Barcelona.</w:t>
      </w:r>
    </w:p>
    <w:p w:rsidR="00C9442E" w:rsidRPr="0066047C" w:rsidRDefault="00B825C8" w:rsidP="009561DB">
      <w:pPr>
        <w:spacing w:after="0"/>
        <w:ind w:left="709" w:hanging="709"/>
        <w:jc w:val="both"/>
        <w:rPr>
          <w:rFonts w:cs="Times New Roman"/>
          <w:color w:val="000000" w:themeColor="text1"/>
        </w:rPr>
      </w:pPr>
      <w:r w:rsidRPr="001B3EA2">
        <w:rPr>
          <w:rFonts w:cs="Times New Roman"/>
          <w:color w:val="000000" w:themeColor="text1"/>
          <w:lang w:val="es-CO"/>
        </w:rPr>
        <w:t xml:space="preserve">Mendoza, X. (1996). Las transformaciones del; sector </w:t>
      </w:r>
      <w:proofErr w:type="spellStart"/>
      <w:r w:rsidRPr="001B3EA2">
        <w:rPr>
          <w:rFonts w:cs="Times New Roman"/>
          <w:color w:val="000000" w:themeColor="text1"/>
          <w:lang w:val="es-CO"/>
        </w:rPr>
        <w:t>public</w:t>
      </w:r>
      <w:proofErr w:type="spellEnd"/>
      <w:r w:rsidRPr="001B3EA2">
        <w:rPr>
          <w:rFonts w:cs="Times New Roman"/>
          <w:color w:val="000000" w:themeColor="text1"/>
          <w:lang w:val="es-CO"/>
        </w:rPr>
        <w:t xml:space="preserve"> en las sociedades </w:t>
      </w:r>
      <w:proofErr w:type="spellStart"/>
      <w:r w:rsidRPr="001B3EA2">
        <w:rPr>
          <w:rFonts w:cs="Times New Roman"/>
          <w:color w:val="000000" w:themeColor="text1"/>
          <w:lang w:val="es-CO"/>
        </w:rPr>
        <w:t>avanzandas</w:t>
      </w:r>
      <w:proofErr w:type="spellEnd"/>
      <w:r w:rsidRPr="001B3EA2">
        <w:rPr>
          <w:rFonts w:cs="Times New Roman"/>
          <w:color w:val="000000" w:themeColor="text1"/>
          <w:lang w:val="es-CO"/>
        </w:rPr>
        <w:t xml:space="preserve">. Del estado del bienestar al estado relacional. </w:t>
      </w:r>
      <w:proofErr w:type="spellStart"/>
      <w:r w:rsidRPr="001B3EA2">
        <w:rPr>
          <w:rFonts w:cs="Times New Roman"/>
          <w:color w:val="000000" w:themeColor="text1"/>
          <w:lang w:val="es-CO"/>
        </w:rPr>
        <w:t>Papers</w:t>
      </w:r>
      <w:proofErr w:type="spellEnd"/>
      <w:r w:rsidRPr="001B3EA2">
        <w:rPr>
          <w:rFonts w:cs="Times New Roman"/>
          <w:color w:val="000000" w:themeColor="text1"/>
          <w:lang w:val="es-CO"/>
        </w:rPr>
        <w:t xml:space="preserve"> de </w:t>
      </w:r>
      <w:proofErr w:type="spellStart"/>
      <w:r w:rsidRPr="001B3EA2">
        <w:rPr>
          <w:rFonts w:cs="Times New Roman"/>
          <w:color w:val="000000" w:themeColor="text1"/>
          <w:lang w:val="es-CO"/>
        </w:rPr>
        <w:t>Formacio</w:t>
      </w:r>
      <w:proofErr w:type="spellEnd"/>
      <w:r w:rsidRPr="001B3EA2">
        <w:rPr>
          <w:rFonts w:cs="Times New Roman"/>
          <w:color w:val="000000" w:themeColor="text1"/>
          <w:lang w:val="es-CO"/>
        </w:rPr>
        <w:t xml:space="preserve">, 23. </w:t>
      </w:r>
      <w:proofErr w:type="spellStart"/>
      <w:r w:rsidRPr="001B3EA2">
        <w:rPr>
          <w:rFonts w:cs="Times New Roman"/>
          <w:color w:val="000000" w:themeColor="text1"/>
        </w:rPr>
        <w:t>Diputacio</w:t>
      </w:r>
      <w:proofErr w:type="spellEnd"/>
      <w:r w:rsidRPr="001B3EA2">
        <w:rPr>
          <w:rFonts w:cs="Times New Roman"/>
          <w:color w:val="000000" w:themeColor="text1"/>
        </w:rPr>
        <w:t xml:space="preserve"> de Barcelona.</w:t>
      </w:r>
    </w:p>
    <w:p w:rsidR="00B825C8" w:rsidRPr="0066047C" w:rsidRDefault="00B825C8" w:rsidP="009561DB">
      <w:pPr>
        <w:spacing w:after="0"/>
        <w:ind w:left="709" w:hanging="709"/>
        <w:jc w:val="both"/>
        <w:rPr>
          <w:rFonts w:cs="Times New Roman"/>
          <w:color w:val="000000" w:themeColor="text1"/>
          <w:lang w:val="es-CO"/>
        </w:rPr>
      </w:pPr>
      <w:proofErr w:type="spellStart"/>
      <w:r w:rsidRPr="001B3EA2">
        <w:rPr>
          <w:rFonts w:cs="Times New Roman"/>
          <w:color w:val="000000" w:themeColor="text1"/>
        </w:rPr>
        <w:t>Midttun</w:t>
      </w:r>
      <w:proofErr w:type="spellEnd"/>
      <w:r w:rsidRPr="001B3EA2">
        <w:rPr>
          <w:rFonts w:cs="Times New Roman"/>
          <w:color w:val="000000" w:themeColor="text1"/>
        </w:rPr>
        <w:t xml:space="preserve">, A. (2005). Policy making and the role of government: Realigning business, government and civil society. </w:t>
      </w:r>
      <w:proofErr w:type="spellStart"/>
      <w:r w:rsidRPr="0066047C">
        <w:rPr>
          <w:rFonts w:cs="Times New Roman"/>
          <w:color w:val="000000" w:themeColor="text1"/>
          <w:lang w:val="es-CO"/>
        </w:rPr>
        <w:t>Corporate</w:t>
      </w:r>
      <w:proofErr w:type="spellEnd"/>
      <w:r w:rsidRPr="0066047C">
        <w:rPr>
          <w:rFonts w:cs="Times New Roman"/>
          <w:color w:val="000000" w:themeColor="text1"/>
          <w:lang w:val="es-CO"/>
        </w:rPr>
        <w:t xml:space="preserve"> </w:t>
      </w:r>
      <w:proofErr w:type="spellStart"/>
      <w:r w:rsidRPr="0066047C">
        <w:rPr>
          <w:rFonts w:cs="Times New Roman"/>
          <w:color w:val="000000" w:themeColor="text1"/>
          <w:lang w:val="es-CO"/>
        </w:rPr>
        <w:t>Governance</w:t>
      </w:r>
      <w:proofErr w:type="spellEnd"/>
      <w:r w:rsidRPr="0066047C">
        <w:rPr>
          <w:rFonts w:cs="Times New Roman"/>
          <w:color w:val="000000" w:themeColor="text1"/>
          <w:lang w:val="es-CO"/>
        </w:rPr>
        <w:t>, 5(3), 159–174.</w:t>
      </w:r>
    </w:p>
    <w:p w:rsidR="00C9442E" w:rsidRPr="001B3EA2" w:rsidRDefault="00452306" w:rsidP="009561DB">
      <w:pPr>
        <w:spacing w:after="0"/>
        <w:ind w:left="709" w:hanging="709"/>
        <w:jc w:val="both"/>
        <w:rPr>
          <w:rFonts w:eastAsia="Calibri" w:cs="Times New Roman"/>
          <w:color w:val="000000" w:themeColor="text1"/>
        </w:rPr>
      </w:pPr>
      <w:proofErr w:type="spellStart"/>
      <w:r w:rsidRPr="001B3EA2">
        <w:rPr>
          <w:rFonts w:eastAsia="Calibri" w:cs="Times New Roman"/>
          <w:color w:val="000000" w:themeColor="text1"/>
          <w:lang w:val="es-CO"/>
        </w:rPr>
        <w:t>Miñana</w:t>
      </w:r>
      <w:proofErr w:type="spellEnd"/>
      <w:r w:rsidRPr="001B3EA2">
        <w:rPr>
          <w:rFonts w:eastAsia="Calibri" w:cs="Times New Roman"/>
          <w:color w:val="000000" w:themeColor="text1"/>
          <w:lang w:val="es-CO"/>
        </w:rPr>
        <w:t xml:space="preserve">, C. y Rodríguez, J. (2003). “La educación en el contexto neoliberal”. En D. Restrepo (ed.). La falacia neoliberal. Crítica y alternativas. </w:t>
      </w:r>
      <w:r w:rsidRPr="001B3EA2">
        <w:rPr>
          <w:rFonts w:eastAsia="Calibri" w:cs="Times New Roman"/>
          <w:color w:val="000000" w:themeColor="text1"/>
        </w:rPr>
        <w:t xml:space="preserve">Bogotá: Universidad </w:t>
      </w:r>
      <w:proofErr w:type="spellStart"/>
      <w:r w:rsidRPr="001B3EA2">
        <w:rPr>
          <w:rFonts w:eastAsia="Calibri" w:cs="Times New Roman"/>
          <w:color w:val="000000" w:themeColor="text1"/>
        </w:rPr>
        <w:t>Nacional</w:t>
      </w:r>
      <w:proofErr w:type="spellEnd"/>
      <w:r w:rsidRPr="001B3EA2">
        <w:rPr>
          <w:rFonts w:eastAsia="Calibri" w:cs="Times New Roman"/>
          <w:color w:val="000000" w:themeColor="text1"/>
        </w:rPr>
        <w:t xml:space="preserve">, </w:t>
      </w:r>
      <w:proofErr w:type="spellStart"/>
      <w:r w:rsidRPr="001B3EA2">
        <w:rPr>
          <w:rFonts w:eastAsia="Calibri" w:cs="Times New Roman"/>
          <w:color w:val="000000" w:themeColor="text1"/>
        </w:rPr>
        <w:t>páginas</w:t>
      </w:r>
      <w:proofErr w:type="spellEnd"/>
      <w:r w:rsidRPr="001B3EA2">
        <w:rPr>
          <w:rFonts w:eastAsia="Calibri" w:cs="Times New Roman"/>
          <w:color w:val="000000" w:themeColor="text1"/>
        </w:rPr>
        <w:t xml:space="preserve"> 285-321.</w:t>
      </w:r>
      <w:r w:rsidRPr="001B3EA2">
        <w:rPr>
          <w:rFonts w:cs="Times New Roman"/>
          <w:color w:val="000000" w:themeColor="text1"/>
          <w:shd w:val="clear" w:color="auto" w:fill="FFFFCC"/>
        </w:rPr>
        <w:t xml:space="preserve"> </w:t>
      </w:r>
      <w:r w:rsidRPr="001B3EA2">
        <w:rPr>
          <w:rFonts w:eastAsia="Calibri" w:cs="Times New Roman"/>
          <w:color w:val="000000" w:themeColor="text1"/>
        </w:rPr>
        <w:t xml:space="preserve"> </w:t>
      </w:r>
    </w:p>
    <w:p w:rsidR="00452306" w:rsidRPr="001B3EA2" w:rsidRDefault="00452306" w:rsidP="009561DB">
      <w:pPr>
        <w:spacing w:after="0"/>
        <w:ind w:left="709" w:hanging="709"/>
        <w:jc w:val="both"/>
        <w:rPr>
          <w:rFonts w:eastAsia="Calibri" w:cs="Times New Roman"/>
          <w:color w:val="000000" w:themeColor="text1"/>
        </w:rPr>
      </w:pPr>
      <w:r w:rsidRPr="001B3EA2">
        <w:rPr>
          <w:rFonts w:cs="Times New Roman"/>
          <w:color w:val="000000" w:themeColor="text1"/>
        </w:rPr>
        <w:t xml:space="preserve">Mitchell, R. K., B. R. </w:t>
      </w:r>
      <w:proofErr w:type="spellStart"/>
      <w:r w:rsidRPr="001B3EA2">
        <w:rPr>
          <w:rFonts w:cs="Times New Roman"/>
          <w:color w:val="000000" w:themeColor="text1"/>
        </w:rPr>
        <w:t>Agle</w:t>
      </w:r>
      <w:proofErr w:type="spellEnd"/>
      <w:r w:rsidRPr="001B3EA2">
        <w:rPr>
          <w:rFonts w:cs="Times New Roman"/>
          <w:color w:val="000000" w:themeColor="text1"/>
        </w:rPr>
        <w:t xml:space="preserve"> and D. J. Wood: 1997, ‘Toward a Theory of Stakeholder Identification and Salience: Defining the Principle of Who and What Really Counts’, Academy of Management Review 22(4), 853–886.</w:t>
      </w:r>
    </w:p>
    <w:p w:rsidR="00452306" w:rsidRPr="001B3EA2" w:rsidRDefault="00452306" w:rsidP="009561DB">
      <w:pPr>
        <w:spacing w:after="0"/>
        <w:ind w:left="720" w:hanging="720"/>
        <w:jc w:val="both"/>
        <w:textAlignment w:val="baseline"/>
        <w:rPr>
          <w:rFonts w:cs="Times New Roman"/>
          <w:color w:val="000000" w:themeColor="text1"/>
        </w:rPr>
      </w:pPr>
      <w:r w:rsidRPr="001B3EA2">
        <w:rPr>
          <w:rFonts w:cs="Times New Roman"/>
          <w:color w:val="000000" w:themeColor="text1"/>
          <w:lang w:val="es-CO"/>
        </w:rPr>
        <w:t xml:space="preserve">Morales, E. 2012. Los estudios organizacionales: un complemento para el estudio de la gestión social. </w:t>
      </w:r>
      <w:r w:rsidRPr="001B3EA2">
        <w:rPr>
          <w:rFonts w:cs="Times New Roman"/>
          <w:color w:val="000000" w:themeColor="text1"/>
        </w:rPr>
        <w:t xml:space="preserve">Administer. No. 21, pp. 117-133. </w:t>
      </w:r>
    </w:p>
    <w:p w:rsidR="00452306" w:rsidRPr="001B3EA2" w:rsidRDefault="00452306" w:rsidP="009561DB">
      <w:pPr>
        <w:spacing w:after="0"/>
        <w:ind w:left="720" w:hanging="720"/>
        <w:jc w:val="both"/>
        <w:textAlignment w:val="baseline"/>
        <w:rPr>
          <w:rFonts w:eastAsia="Times New Roman" w:cs="Times New Roman"/>
          <w:color w:val="000000" w:themeColor="text1"/>
          <w:lang w:eastAsia="es-ES"/>
        </w:rPr>
      </w:pPr>
      <w:r w:rsidRPr="001B3EA2">
        <w:rPr>
          <w:rFonts w:cs="Times New Roman"/>
          <w:noProof/>
          <w:color w:val="000000" w:themeColor="text1"/>
        </w:rPr>
        <w:t xml:space="preserve">Mouton, J., &amp; Marais, H. (1990). </w:t>
      </w:r>
      <w:r w:rsidRPr="001B3EA2">
        <w:rPr>
          <w:rFonts w:cs="Times New Roman"/>
          <w:i/>
          <w:iCs/>
          <w:noProof/>
          <w:color w:val="000000" w:themeColor="text1"/>
        </w:rPr>
        <w:t>Basic concepts in the methodology of the social sciences.</w:t>
      </w:r>
      <w:r w:rsidRPr="001B3EA2">
        <w:rPr>
          <w:rFonts w:cs="Times New Roman"/>
          <w:noProof/>
          <w:color w:val="000000" w:themeColor="text1"/>
        </w:rPr>
        <w:t xml:space="preserve"> Pretoria (South Africa): HSRC publishers.</w:t>
      </w:r>
    </w:p>
    <w:p w:rsidR="00452306" w:rsidRPr="00993183" w:rsidRDefault="00452306" w:rsidP="009561DB">
      <w:pPr>
        <w:pStyle w:val="NormalWeb"/>
        <w:spacing w:before="0" w:beforeAutospacing="0" w:after="0" w:afterAutospacing="0"/>
        <w:ind w:left="720" w:hanging="720"/>
        <w:jc w:val="both"/>
        <w:textAlignment w:val="baseline"/>
        <w:rPr>
          <w:color w:val="000000" w:themeColor="text1"/>
        </w:rPr>
      </w:pPr>
      <w:r w:rsidRPr="00993183">
        <w:rPr>
          <w:color w:val="000000" w:themeColor="text1"/>
        </w:rPr>
        <w:t>ONU, 1999, Pacto Global (</w:t>
      </w:r>
      <w:hyperlink r:id="rId17" w:history="1">
        <w:r w:rsidRPr="00993183">
          <w:rPr>
            <w:rStyle w:val="Hipervnculo"/>
            <w:color w:val="000000" w:themeColor="text1"/>
          </w:rPr>
          <w:t>www.unglobalcompact.org</w:t>
        </w:r>
      </w:hyperlink>
      <w:r w:rsidRPr="00993183">
        <w:rPr>
          <w:color w:val="000000" w:themeColor="text1"/>
        </w:rPr>
        <w:t>).</w:t>
      </w:r>
    </w:p>
    <w:p w:rsidR="00452306" w:rsidRPr="001B3EA2" w:rsidRDefault="00452306" w:rsidP="009561DB">
      <w:pPr>
        <w:pStyle w:val="Textonotapie"/>
        <w:ind w:left="709" w:hanging="709"/>
        <w:jc w:val="both"/>
        <w:rPr>
          <w:rFonts w:ascii="Times New Roman" w:hAnsi="Times New Roman" w:cs="Times New Roman"/>
          <w:color w:val="000000" w:themeColor="text1"/>
          <w:sz w:val="24"/>
          <w:szCs w:val="24"/>
          <w:lang w:val="en-US"/>
        </w:rPr>
      </w:pPr>
      <w:r w:rsidRPr="001B3EA2">
        <w:rPr>
          <w:rFonts w:ascii="Times New Roman" w:hAnsi="Times New Roman" w:cs="Times New Roman"/>
          <w:color w:val="000000" w:themeColor="text1"/>
          <w:sz w:val="24"/>
          <w:szCs w:val="24"/>
          <w:lang w:val="en-US"/>
        </w:rPr>
        <w:t xml:space="preserve">Porter, M. </w:t>
      </w:r>
      <w:proofErr w:type="gramStart"/>
      <w:r w:rsidRPr="001B3EA2">
        <w:rPr>
          <w:rFonts w:ascii="Times New Roman" w:hAnsi="Times New Roman" w:cs="Times New Roman"/>
          <w:color w:val="000000" w:themeColor="text1"/>
          <w:sz w:val="24"/>
          <w:szCs w:val="24"/>
          <w:lang w:val="en-US"/>
        </w:rPr>
        <w:t>&amp;  M</w:t>
      </w:r>
      <w:proofErr w:type="gramEnd"/>
      <w:r w:rsidRPr="001B3EA2">
        <w:rPr>
          <w:rFonts w:ascii="Times New Roman" w:hAnsi="Times New Roman" w:cs="Times New Roman"/>
          <w:color w:val="000000" w:themeColor="text1"/>
          <w:sz w:val="24"/>
          <w:szCs w:val="24"/>
          <w:lang w:val="en-US"/>
        </w:rPr>
        <w:t xml:space="preserve">. R. Kramer. (2011). “The big idea: Creating Shared Value. </w:t>
      </w:r>
      <w:proofErr w:type="gramStart"/>
      <w:r w:rsidRPr="001B3EA2">
        <w:rPr>
          <w:rFonts w:ascii="Times New Roman" w:hAnsi="Times New Roman" w:cs="Times New Roman"/>
          <w:color w:val="000000" w:themeColor="text1"/>
          <w:sz w:val="24"/>
          <w:szCs w:val="24"/>
          <w:lang w:val="en-US"/>
        </w:rPr>
        <w:t>How to reinvent capitalism—and unleash a wave of innovation and growth”.</w:t>
      </w:r>
      <w:proofErr w:type="gramEnd"/>
      <w:r w:rsidRPr="001B3EA2">
        <w:rPr>
          <w:rFonts w:ascii="Times New Roman" w:hAnsi="Times New Roman" w:cs="Times New Roman"/>
          <w:color w:val="000000" w:themeColor="text1"/>
          <w:sz w:val="24"/>
          <w:szCs w:val="24"/>
          <w:lang w:val="en-US"/>
        </w:rPr>
        <w:t xml:space="preserve"> Harvard Business Review. </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1B3EA2">
        <w:rPr>
          <w:color w:val="000000" w:themeColor="text1"/>
          <w:lang w:val="en-US"/>
        </w:rPr>
        <w:lastRenderedPageBreak/>
        <w:t>Prahalad</w:t>
      </w:r>
      <w:proofErr w:type="spellEnd"/>
      <w:r w:rsidRPr="001B3EA2">
        <w:rPr>
          <w:color w:val="000000" w:themeColor="text1"/>
          <w:lang w:val="en-US"/>
        </w:rPr>
        <w:t>, C. K. and A. Hammond: 2002, ‘Serving the World’s Poor, Profitably’, Harvard Business Review 80(9), 48–58.</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 xml:space="preserve">Preston, L. E. and J. E. Post: 1975, Private Management and Public Policy. </w:t>
      </w:r>
      <w:proofErr w:type="gramStart"/>
      <w:r w:rsidRPr="001B3EA2">
        <w:rPr>
          <w:color w:val="000000" w:themeColor="text1"/>
          <w:lang w:val="en-US"/>
        </w:rPr>
        <w:t>The Principle of Public Responsibility (Prentice Hall, Englewood Cliffs, NJ).</w:t>
      </w:r>
      <w:proofErr w:type="gramEnd"/>
    </w:p>
    <w:p w:rsidR="00452306" w:rsidRPr="001B3EA2" w:rsidRDefault="00452306" w:rsidP="009561DB">
      <w:pPr>
        <w:pStyle w:val="Textonotapie"/>
        <w:ind w:left="709" w:hanging="709"/>
        <w:jc w:val="both"/>
        <w:rPr>
          <w:rFonts w:ascii="Times New Roman" w:hAnsi="Times New Roman" w:cs="Times New Roman"/>
          <w:color w:val="000000" w:themeColor="text1"/>
          <w:sz w:val="24"/>
          <w:szCs w:val="24"/>
        </w:rPr>
      </w:pPr>
      <w:r w:rsidRPr="001B3EA2">
        <w:rPr>
          <w:rFonts w:ascii="Times New Roman" w:hAnsi="Times New Roman" w:cs="Times New Roman"/>
          <w:color w:val="000000" w:themeColor="text1"/>
          <w:sz w:val="24"/>
          <w:szCs w:val="24"/>
        </w:rPr>
        <w:t xml:space="preserve">Ramírez, G., Vargas, G., &amp; De la Rosa, A. (2011). Estudios organizacionales y administración. Contrastes y complementariedades: caminando hacia el eslabón perdido. Revista electrónica </w:t>
      </w:r>
      <w:proofErr w:type="spellStart"/>
      <w:r w:rsidRPr="001B3EA2">
        <w:rPr>
          <w:rFonts w:ascii="Times New Roman" w:hAnsi="Times New Roman" w:cs="Times New Roman"/>
          <w:color w:val="000000" w:themeColor="text1"/>
          <w:sz w:val="24"/>
          <w:szCs w:val="24"/>
        </w:rPr>
        <w:t>Forum</w:t>
      </w:r>
      <w:proofErr w:type="spellEnd"/>
      <w:r w:rsidRPr="001B3EA2">
        <w:rPr>
          <w:rFonts w:ascii="Times New Roman" w:hAnsi="Times New Roman" w:cs="Times New Roman"/>
          <w:color w:val="000000" w:themeColor="text1"/>
          <w:sz w:val="24"/>
          <w:szCs w:val="24"/>
        </w:rPr>
        <w:t xml:space="preserve"> Doctoral, 3, 7-54.</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1B3EA2">
        <w:rPr>
          <w:color w:val="000000" w:themeColor="text1"/>
        </w:rPr>
        <w:t>Schreck</w:t>
      </w:r>
      <w:proofErr w:type="spellEnd"/>
      <w:r w:rsidRPr="001B3EA2">
        <w:rPr>
          <w:color w:val="000000" w:themeColor="text1"/>
        </w:rPr>
        <w:t xml:space="preserve">, P., van </w:t>
      </w:r>
      <w:proofErr w:type="spellStart"/>
      <w:r w:rsidRPr="001B3EA2">
        <w:rPr>
          <w:color w:val="000000" w:themeColor="text1"/>
        </w:rPr>
        <w:t>Aaken</w:t>
      </w:r>
      <w:proofErr w:type="spellEnd"/>
      <w:r w:rsidRPr="001B3EA2">
        <w:rPr>
          <w:color w:val="000000" w:themeColor="text1"/>
        </w:rPr>
        <w:t xml:space="preserve">, D., &amp; </w:t>
      </w:r>
      <w:proofErr w:type="spellStart"/>
      <w:r w:rsidRPr="001B3EA2">
        <w:rPr>
          <w:color w:val="000000" w:themeColor="text1"/>
        </w:rPr>
        <w:t>Donaldson</w:t>
      </w:r>
      <w:proofErr w:type="spellEnd"/>
      <w:r w:rsidRPr="001B3EA2">
        <w:rPr>
          <w:color w:val="000000" w:themeColor="text1"/>
        </w:rPr>
        <w:t xml:space="preserve">, T. (2013). </w:t>
      </w:r>
      <w:r w:rsidRPr="001B3EA2">
        <w:rPr>
          <w:color w:val="000000" w:themeColor="text1"/>
          <w:lang w:val="en-US"/>
        </w:rPr>
        <w:t xml:space="preserve">Positive Economics and the </w:t>
      </w:r>
      <w:proofErr w:type="spellStart"/>
      <w:r w:rsidRPr="001B3EA2">
        <w:rPr>
          <w:color w:val="000000" w:themeColor="text1"/>
          <w:lang w:val="en-US"/>
        </w:rPr>
        <w:t>Normativistic</w:t>
      </w:r>
      <w:proofErr w:type="spellEnd"/>
      <w:r w:rsidRPr="001B3EA2">
        <w:rPr>
          <w:color w:val="000000" w:themeColor="text1"/>
          <w:lang w:val="en-US"/>
        </w:rPr>
        <w:t xml:space="preserve"> Fallacy: Bridging the Two Sides of CSR. Business Ethics Quarterly, 23(2), 297-329. </w:t>
      </w:r>
    </w:p>
    <w:p w:rsidR="00315BC2" w:rsidRPr="001B3EA2" w:rsidRDefault="00452306" w:rsidP="009561DB">
      <w:pPr>
        <w:pStyle w:val="Textonotapie"/>
        <w:ind w:left="709" w:hanging="709"/>
        <w:jc w:val="both"/>
        <w:rPr>
          <w:rFonts w:ascii="Times New Roman" w:hAnsi="Times New Roman" w:cs="Times New Roman"/>
          <w:color w:val="000000" w:themeColor="text1"/>
          <w:sz w:val="24"/>
          <w:szCs w:val="24"/>
          <w:lang w:val="en-US"/>
        </w:rPr>
      </w:pPr>
      <w:r w:rsidRPr="001B3EA2">
        <w:rPr>
          <w:rFonts w:ascii="Times New Roman" w:hAnsi="Times New Roman" w:cs="Times New Roman"/>
          <w:color w:val="000000" w:themeColor="text1"/>
          <w:sz w:val="24"/>
          <w:szCs w:val="24"/>
          <w:lang w:val="en-US"/>
        </w:rPr>
        <w:t>Solomon, R. C. (1992). Corporate roles, personal virtues: An Aristotelian approach to business ethics. Business Ethics Quarterly, 2(3), 317–339.</w:t>
      </w:r>
    </w:p>
    <w:p w:rsidR="00315BC2" w:rsidRPr="001B3EA2" w:rsidRDefault="00315BC2" w:rsidP="009561DB">
      <w:pPr>
        <w:pStyle w:val="Textonotapie"/>
        <w:ind w:left="709" w:hanging="709"/>
        <w:jc w:val="both"/>
        <w:rPr>
          <w:rFonts w:ascii="Times New Roman" w:hAnsi="Times New Roman" w:cs="Times New Roman"/>
          <w:color w:val="000000" w:themeColor="text1"/>
          <w:sz w:val="24"/>
          <w:szCs w:val="24"/>
          <w:lang w:val="en-US"/>
        </w:rPr>
      </w:pPr>
      <w:proofErr w:type="gramStart"/>
      <w:r w:rsidRPr="001B3EA2">
        <w:rPr>
          <w:rFonts w:ascii="Times New Roman" w:hAnsi="Times New Roman" w:cs="Times New Roman"/>
          <w:color w:val="000000" w:themeColor="text1"/>
          <w:sz w:val="24"/>
          <w:szCs w:val="24"/>
          <w:lang w:val="en-US"/>
        </w:rPr>
        <w:t>Stake, R. E. (1995).</w:t>
      </w:r>
      <w:proofErr w:type="gramEnd"/>
      <w:r w:rsidRPr="001B3EA2">
        <w:rPr>
          <w:rFonts w:ascii="Times New Roman" w:hAnsi="Times New Roman" w:cs="Times New Roman"/>
          <w:color w:val="000000" w:themeColor="text1"/>
          <w:sz w:val="24"/>
          <w:szCs w:val="24"/>
          <w:lang w:val="en-US"/>
        </w:rPr>
        <w:t xml:space="preserve"> </w:t>
      </w:r>
      <w:proofErr w:type="gramStart"/>
      <w:r w:rsidRPr="001B3EA2">
        <w:rPr>
          <w:rFonts w:ascii="Times New Roman" w:hAnsi="Times New Roman" w:cs="Times New Roman"/>
          <w:i/>
          <w:iCs/>
          <w:color w:val="000000" w:themeColor="text1"/>
          <w:sz w:val="24"/>
          <w:szCs w:val="24"/>
          <w:lang w:val="en-US"/>
        </w:rPr>
        <w:t>The art of case study research</w:t>
      </w:r>
      <w:r w:rsidRPr="001B3EA2">
        <w:rPr>
          <w:rFonts w:ascii="Times New Roman" w:hAnsi="Times New Roman" w:cs="Times New Roman"/>
          <w:color w:val="000000" w:themeColor="text1"/>
          <w:sz w:val="24"/>
          <w:szCs w:val="24"/>
          <w:lang w:val="en-US"/>
        </w:rPr>
        <w:t>.</w:t>
      </w:r>
      <w:proofErr w:type="gramEnd"/>
      <w:r w:rsidRPr="001B3EA2">
        <w:rPr>
          <w:rFonts w:ascii="Times New Roman" w:hAnsi="Times New Roman" w:cs="Times New Roman"/>
          <w:color w:val="000000" w:themeColor="text1"/>
          <w:sz w:val="24"/>
          <w:szCs w:val="24"/>
          <w:lang w:val="en-US"/>
        </w:rPr>
        <w:t xml:space="preserve"> </w:t>
      </w:r>
      <w:r w:rsidRPr="0066047C">
        <w:rPr>
          <w:rFonts w:ascii="Times New Roman" w:hAnsi="Times New Roman" w:cs="Times New Roman"/>
          <w:color w:val="000000" w:themeColor="text1"/>
          <w:sz w:val="24"/>
          <w:szCs w:val="24"/>
          <w:lang w:val="en-US"/>
        </w:rPr>
        <w:t>Thousand Oaks, CA: Sage.</w:t>
      </w:r>
    </w:p>
    <w:p w:rsidR="00315BC2" w:rsidRPr="001B3EA2" w:rsidRDefault="00315BC2" w:rsidP="009561DB">
      <w:pPr>
        <w:pStyle w:val="Textonotapie"/>
        <w:ind w:left="709" w:hanging="709"/>
        <w:jc w:val="both"/>
        <w:rPr>
          <w:rFonts w:ascii="Times New Roman" w:hAnsi="Times New Roman" w:cs="Times New Roman"/>
          <w:color w:val="000000" w:themeColor="text1"/>
          <w:sz w:val="24"/>
          <w:szCs w:val="24"/>
          <w:lang w:val="en-US"/>
        </w:rPr>
      </w:pPr>
      <w:proofErr w:type="gramStart"/>
      <w:r w:rsidRPr="001B3EA2">
        <w:rPr>
          <w:rFonts w:ascii="Times New Roman" w:hAnsi="Times New Roman" w:cs="Times New Roman"/>
          <w:color w:val="000000" w:themeColor="text1"/>
          <w:sz w:val="24"/>
          <w:szCs w:val="24"/>
          <w:lang w:val="en-US"/>
        </w:rPr>
        <w:t>Thompson, m. (2010).</w:t>
      </w:r>
      <w:proofErr w:type="gramEnd"/>
      <w:r w:rsidRPr="001B3EA2">
        <w:rPr>
          <w:rFonts w:ascii="Times New Roman" w:hAnsi="Times New Roman" w:cs="Times New Roman"/>
          <w:color w:val="000000" w:themeColor="text1"/>
          <w:sz w:val="24"/>
          <w:szCs w:val="24"/>
          <w:lang w:val="en-US"/>
        </w:rPr>
        <w:t xml:space="preserve"> Signals of virtue in </w:t>
      </w:r>
      <w:proofErr w:type="spellStart"/>
      <w:proofErr w:type="gramStart"/>
      <w:r w:rsidRPr="001B3EA2">
        <w:rPr>
          <w:rFonts w:ascii="Times New Roman" w:hAnsi="Times New Roman" w:cs="Times New Roman"/>
          <w:color w:val="000000" w:themeColor="text1"/>
          <w:sz w:val="24"/>
          <w:szCs w:val="24"/>
          <w:lang w:val="en-US"/>
        </w:rPr>
        <w:t>chinese</w:t>
      </w:r>
      <w:proofErr w:type="spellEnd"/>
      <w:proofErr w:type="gramEnd"/>
      <w:r w:rsidRPr="001B3EA2">
        <w:rPr>
          <w:rFonts w:ascii="Times New Roman" w:hAnsi="Times New Roman" w:cs="Times New Roman"/>
          <w:color w:val="000000" w:themeColor="text1"/>
          <w:sz w:val="24"/>
          <w:szCs w:val="24"/>
          <w:lang w:val="en-US"/>
        </w:rPr>
        <w:t xml:space="preserve"> consumerism and business.</w:t>
      </w:r>
      <w:r w:rsidRPr="001B3EA2">
        <w:rPr>
          <w:rStyle w:val="apple-converted-space"/>
          <w:rFonts w:ascii="Times New Roman" w:hAnsi="Times New Roman" w:cs="Times New Roman"/>
          <w:color w:val="000000" w:themeColor="text1"/>
          <w:sz w:val="24"/>
          <w:szCs w:val="24"/>
          <w:lang w:val="en-US"/>
        </w:rPr>
        <w:t> </w:t>
      </w:r>
      <w:proofErr w:type="gramStart"/>
      <w:r w:rsidRPr="001B3EA2">
        <w:rPr>
          <w:rFonts w:ascii="Times New Roman" w:hAnsi="Times New Roman" w:cs="Times New Roman"/>
          <w:i/>
          <w:iCs/>
          <w:color w:val="000000" w:themeColor="text1"/>
          <w:sz w:val="24"/>
          <w:szCs w:val="24"/>
          <w:bdr w:val="none" w:sz="0" w:space="0" w:color="auto" w:frame="1"/>
          <w:lang w:val="en-US"/>
        </w:rPr>
        <w:t>Journal of international business ethics</w:t>
      </w:r>
      <w:r w:rsidRPr="001B3EA2">
        <w:rPr>
          <w:rFonts w:ascii="Times New Roman" w:hAnsi="Times New Roman" w:cs="Times New Roman"/>
          <w:color w:val="000000" w:themeColor="text1"/>
          <w:sz w:val="24"/>
          <w:szCs w:val="24"/>
          <w:lang w:val="en-US"/>
        </w:rPr>
        <w:t>,</w:t>
      </w:r>
      <w:r w:rsidRPr="001B3EA2">
        <w:rPr>
          <w:rStyle w:val="apple-converted-space"/>
          <w:rFonts w:ascii="Times New Roman" w:hAnsi="Times New Roman" w:cs="Times New Roman"/>
          <w:color w:val="000000" w:themeColor="text1"/>
          <w:sz w:val="24"/>
          <w:szCs w:val="24"/>
          <w:lang w:val="en-US"/>
        </w:rPr>
        <w:t> </w:t>
      </w:r>
      <w:r w:rsidRPr="001B3EA2">
        <w:rPr>
          <w:rFonts w:ascii="Times New Roman" w:hAnsi="Times New Roman" w:cs="Times New Roman"/>
          <w:i/>
          <w:iCs/>
          <w:color w:val="000000" w:themeColor="text1"/>
          <w:sz w:val="24"/>
          <w:szCs w:val="24"/>
          <w:bdr w:val="none" w:sz="0" w:space="0" w:color="auto" w:frame="1"/>
          <w:lang w:val="en-US"/>
        </w:rPr>
        <w:t>3</w:t>
      </w:r>
      <w:r w:rsidRPr="001B3EA2">
        <w:rPr>
          <w:rFonts w:ascii="Times New Roman" w:hAnsi="Times New Roman" w:cs="Times New Roman"/>
          <w:color w:val="000000" w:themeColor="text1"/>
          <w:sz w:val="24"/>
          <w:szCs w:val="24"/>
          <w:lang w:val="en-US"/>
        </w:rPr>
        <w:t>(2), 71-79.</w:t>
      </w:r>
      <w:proofErr w:type="gramEnd"/>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proofErr w:type="spellStart"/>
      <w:r w:rsidRPr="001B3EA2">
        <w:rPr>
          <w:color w:val="000000" w:themeColor="text1"/>
          <w:lang w:val="en-US"/>
        </w:rPr>
        <w:t>Varadarajan</w:t>
      </w:r>
      <w:proofErr w:type="spellEnd"/>
      <w:r w:rsidRPr="001B3EA2">
        <w:rPr>
          <w:color w:val="000000" w:themeColor="text1"/>
          <w:lang w:val="en-US"/>
        </w:rPr>
        <w:t xml:space="preserve">, P. R. and A. </w:t>
      </w:r>
      <w:proofErr w:type="spellStart"/>
      <w:r w:rsidRPr="001B3EA2">
        <w:rPr>
          <w:color w:val="000000" w:themeColor="text1"/>
          <w:lang w:val="en-US"/>
        </w:rPr>
        <w:t>Menon</w:t>
      </w:r>
      <w:proofErr w:type="spellEnd"/>
      <w:r w:rsidRPr="001B3EA2">
        <w:rPr>
          <w:color w:val="000000" w:themeColor="text1"/>
          <w:lang w:val="en-US"/>
        </w:rPr>
        <w:t xml:space="preserve">: 1988, ‘Cause-Related Marketing: A </w:t>
      </w:r>
      <w:proofErr w:type="spellStart"/>
      <w:r w:rsidRPr="001B3EA2">
        <w:rPr>
          <w:color w:val="000000" w:themeColor="text1"/>
          <w:lang w:val="en-US"/>
        </w:rPr>
        <w:t>Coalignment</w:t>
      </w:r>
      <w:proofErr w:type="spellEnd"/>
      <w:r w:rsidRPr="001B3EA2">
        <w:rPr>
          <w:color w:val="000000" w:themeColor="text1"/>
          <w:lang w:val="en-US"/>
        </w:rPr>
        <w:t xml:space="preserve"> of Marketing Strategy and Corporate Philanthropy’, Journal of Marketing 52(3), 58–58.</w:t>
      </w:r>
    </w:p>
    <w:p w:rsidR="001C3FD0" w:rsidRPr="001B3EA2" w:rsidRDefault="001C3FD0"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 xml:space="preserve">Whelan, G. (2012). The Political Perspective of Corporate Social Responsibility: A Critical Research Agenda. Business Ethics Quarterly, 22(4), </w:t>
      </w:r>
      <w:r w:rsidR="0038741F" w:rsidRPr="001B3EA2">
        <w:rPr>
          <w:color w:val="000000" w:themeColor="text1"/>
          <w:lang w:val="en-US"/>
        </w:rPr>
        <w:t>709-737.</w:t>
      </w:r>
    </w:p>
    <w:p w:rsidR="00452306" w:rsidRPr="001B3EA2" w:rsidRDefault="00452306" w:rsidP="009561DB">
      <w:pPr>
        <w:pStyle w:val="NormalWeb"/>
        <w:spacing w:before="0" w:beforeAutospacing="0" w:after="0" w:afterAutospacing="0"/>
        <w:ind w:left="720" w:hanging="720"/>
        <w:jc w:val="both"/>
        <w:textAlignment w:val="baseline"/>
        <w:rPr>
          <w:color w:val="000000" w:themeColor="text1"/>
          <w:lang w:val="en-US"/>
        </w:rPr>
      </w:pPr>
      <w:r w:rsidRPr="001B3EA2">
        <w:rPr>
          <w:color w:val="000000" w:themeColor="text1"/>
          <w:lang w:val="en-US"/>
        </w:rPr>
        <w:t xml:space="preserve">Wood, D. J. and J. M. </w:t>
      </w:r>
      <w:proofErr w:type="spellStart"/>
      <w:r w:rsidRPr="001B3EA2">
        <w:rPr>
          <w:color w:val="000000" w:themeColor="text1"/>
          <w:lang w:val="en-US"/>
        </w:rPr>
        <w:t>Lodgson</w:t>
      </w:r>
      <w:proofErr w:type="spellEnd"/>
      <w:r w:rsidRPr="001B3EA2">
        <w:rPr>
          <w:color w:val="000000" w:themeColor="text1"/>
          <w:lang w:val="en-US"/>
        </w:rPr>
        <w:t>: 2002, ‘Business Citizenship: From Individuals to Organizations’, Business Ethics Quarterly, Ruffin Series, No. 3, 59–94.</w:t>
      </w:r>
    </w:p>
    <w:p w:rsidR="001D5960" w:rsidRPr="001B3EA2" w:rsidRDefault="001D5960" w:rsidP="009561DB">
      <w:pPr>
        <w:pStyle w:val="Textonotapie"/>
        <w:ind w:left="709" w:hanging="709"/>
        <w:jc w:val="both"/>
        <w:rPr>
          <w:rFonts w:ascii="Times New Roman" w:hAnsi="Times New Roman" w:cs="Times New Roman"/>
          <w:color w:val="000000" w:themeColor="text1"/>
          <w:sz w:val="24"/>
          <w:szCs w:val="24"/>
          <w:lang w:val="en-US"/>
        </w:rPr>
      </w:pPr>
      <w:proofErr w:type="gramStart"/>
      <w:r w:rsidRPr="001B3EA2">
        <w:rPr>
          <w:rFonts w:ascii="Times New Roman" w:hAnsi="Times New Roman" w:cs="Times New Roman"/>
          <w:color w:val="000000" w:themeColor="text1"/>
          <w:sz w:val="24"/>
          <w:szCs w:val="24"/>
          <w:lang w:val="en-US"/>
        </w:rPr>
        <w:t>Yin, R. 2003.</w:t>
      </w:r>
      <w:proofErr w:type="gramEnd"/>
      <w:r w:rsidRPr="001B3EA2">
        <w:rPr>
          <w:rFonts w:ascii="Times New Roman" w:hAnsi="Times New Roman" w:cs="Times New Roman"/>
          <w:color w:val="000000" w:themeColor="text1"/>
          <w:sz w:val="24"/>
          <w:szCs w:val="24"/>
          <w:lang w:val="en-US"/>
        </w:rPr>
        <w:t xml:space="preserve"> </w:t>
      </w:r>
      <w:proofErr w:type="gramStart"/>
      <w:r w:rsidRPr="001B3EA2">
        <w:rPr>
          <w:rFonts w:ascii="Times New Roman" w:hAnsi="Times New Roman" w:cs="Times New Roman"/>
          <w:color w:val="000000" w:themeColor="text1"/>
          <w:sz w:val="24"/>
          <w:szCs w:val="24"/>
          <w:lang w:val="en-US"/>
        </w:rPr>
        <w:t>Case Study Research.</w:t>
      </w:r>
      <w:proofErr w:type="gramEnd"/>
      <w:r w:rsidRPr="001B3EA2">
        <w:rPr>
          <w:rFonts w:ascii="Times New Roman" w:hAnsi="Times New Roman" w:cs="Times New Roman"/>
          <w:color w:val="000000" w:themeColor="text1"/>
          <w:sz w:val="24"/>
          <w:szCs w:val="24"/>
          <w:lang w:val="en-US"/>
        </w:rPr>
        <w:t xml:space="preserve"> </w:t>
      </w:r>
      <w:proofErr w:type="gramStart"/>
      <w:r w:rsidRPr="001B3EA2">
        <w:rPr>
          <w:rFonts w:ascii="Times New Roman" w:hAnsi="Times New Roman" w:cs="Times New Roman"/>
          <w:color w:val="000000" w:themeColor="text1"/>
          <w:sz w:val="24"/>
          <w:szCs w:val="24"/>
          <w:lang w:val="en-US"/>
        </w:rPr>
        <w:t>Designs and Methods.</w:t>
      </w:r>
      <w:proofErr w:type="gramEnd"/>
      <w:r w:rsidRPr="001B3EA2">
        <w:rPr>
          <w:rFonts w:ascii="Times New Roman" w:hAnsi="Times New Roman" w:cs="Times New Roman"/>
          <w:color w:val="000000" w:themeColor="text1"/>
          <w:sz w:val="24"/>
          <w:szCs w:val="24"/>
          <w:lang w:val="en-US"/>
        </w:rPr>
        <w:t xml:space="preserve"> 3</w:t>
      </w:r>
      <w:r w:rsidRPr="001B3EA2">
        <w:rPr>
          <w:rFonts w:ascii="Times New Roman" w:hAnsi="Times New Roman" w:cs="Times New Roman"/>
          <w:color w:val="000000" w:themeColor="text1"/>
          <w:sz w:val="24"/>
          <w:szCs w:val="24"/>
          <w:vertAlign w:val="superscript"/>
          <w:lang w:val="en-US"/>
        </w:rPr>
        <w:t>rd</w:t>
      </w:r>
      <w:r w:rsidRPr="001B3EA2">
        <w:rPr>
          <w:rFonts w:ascii="Times New Roman" w:hAnsi="Times New Roman" w:cs="Times New Roman"/>
          <w:color w:val="000000" w:themeColor="text1"/>
          <w:sz w:val="24"/>
          <w:szCs w:val="24"/>
          <w:lang w:val="en-US"/>
        </w:rPr>
        <w:t xml:space="preserve"> Edition, California, Sage. </w:t>
      </w:r>
    </w:p>
    <w:sectPr w:rsidR="001D5960" w:rsidRPr="001B3E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4E5" w:rsidRDefault="008644E5" w:rsidP="00DC1042">
      <w:pPr>
        <w:spacing w:after="0"/>
      </w:pPr>
      <w:r>
        <w:separator/>
      </w:r>
    </w:p>
  </w:endnote>
  <w:endnote w:type="continuationSeparator" w:id="0">
    <w:p w:rsidR="008644E5" w:rsidRDefault="008644E5" w:rsidP="00DC1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4069"/>
      <w:docPartObj>
        <w:docPartGallery w:val="Page Numbers (Bottom of Page)"/>
        <w:docPartUnique/>
      </w:docPartObj>
    </w:sdtPr>
    <w:sdtEndPr/>
    <w:sdtContent>
      <w:p w:rsidR="009561DB" w:rsidRDefault="009561DB">
        <w:pPr>
          <w:pStyle w:val="Piedepgina"/>
          <w:jc w:val="right"/>
        </w:pPr>
        <w:r>
          <w:fldChar w:fldCharType="begin"/>
        </w:r>
        <w:r>
          <w:instrText>PAGE   \* MERGEFORMAT</w:instrText>
        </w:r>
        <w:r>
          <w:fldChar w:fldCharType="separate"/>
        </w:r>
        <w:r w:rsidR="00330291" w:rsidRPr="00330291">
          <w:rPr>
            <w:noProof/>
            <w:lang w:val="es-ES"/>
          </w:rPr>
          <w:t>1</w:t>
        </w:r>
        <w:r>
          <w:fldChar w:fldCharType="end"/>
        </w:r>
      </w:p>
    </w:sdtContent>
  </w:sdt>
  <w:p w:rsidR="009561DB" w:rsidRDefault="009561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4E5" w:rsidRDefault="008644E5" w:rsidP="00DC1042">
      <w:pPr>
        <w:spacing w:after="0"/>
      </w:pPr>
      <w:r>
        <w:separator/>
      </w:r>
    </w:p>
  </w:footnote>
  <w:footnote w:type="continuationSeparator" w:id="0">
    <w:p w:rsidR="008644E5" w:rsidRDefault="008644E5" w:rsidP="00DC1042">
      <w:pPr>
        <w:spacing w:after="0"/>
      </w:pPr>
      <w:r>
        <w:continuationSeparator/>
      </w:r>
    </w:p>
  </w:footnote>
  <w:footnote w:id="1">
    <w:p w:rsidR="00895E90" w:rsidRDefault="00895E90" w:rsidP="00895E90">
      <w:pPr>
        <w:pStyle w:val="Textonotapie"/>
        <w:jc w:val="both"/>
      </w:pPr>
      <w:r>
        <w:rPr>
          <w:rStyle w:val="Refdenotaalpie"/>
        </w:rPr>
        <w:footnoteRef/>
      </w:r>
      <w:r>
        <w:t xml:space="preserve"> Las prescripciones hacen referencia a análisis sobre cómo </w:t>
      </w:r>
      <w:r w:rsidRPr="00BE087E">
        <w:rPr>
          <w:i/>
        </w:rPr>
        <w:t>deberían ser</w:t>
      </w:r>
      <w:r>
        <w:t xml:space="preserve"> las cosas, usualmente apoyados en reflexiones de carácter filosófico. Mientras que las teorías “positivas” se apoyan en métodos de investigación social para describir y explicar </w:t>
      </w:r>
      <w:r w:rsidRPr="009A1284">
        <w:t>cómo</w:t>
      </w:r>
      <w:r w:rsidRPr="00BE087E">
        <w:rPr>
          <w:i/>
        </w:rPr>
        <w:t xml:space="preserve"> son</w:t>
      </w:r>
      <w:r>
        <w:t xml:space="preserve"> las cosas (</w:t>
      </w:r>
      <w:proofErr w:type="spellStart"/>
      <w:r>
        <w:t>Schreck</w:t>
      </w:r>
      <w:proofErr w:type="spellEnd"/>
      <w:r>
        <w:t xml:space="preserve">, van </w:t>
      </w:r>
      <w:proofErr w:type="spellStart"/>
      <w:r>
        <w:t>Aaken</w:t>
      </w:r>
      <w:proofErr w:type="spellEnd"/>
      <w:r>
        <w:t xml:space="preserve"> &amp; </w:t>
      </w:r>
      <w:proofErr w:type="spellStart"/>
      <w:r>
        <w:t>Donaldson</w:t>
      </w:r>
      <w:proofErr w:type="spellEnd"/>
      <w:r>
        <w:t xml:space="preserve">, 2013). </w:t>
      </w:r>
    </w:p>
  </w:footnote>
  <w:footnote w:id="2">
    <w:p w:rsidR="00895E90" w:rsidRPr="00754A86" w:rsidRDefault="00895E90" w:rsidP="00895E90">
      <w:pPr>
        <w:pStyle w:val="Textonotapie"/>
        <w:jc w:val="both"/>
        <w:rPr>
          <w:rFonts w:ascii="Times New Roman" w:hAnsi="Times New Roman" w:cs="Times New Roman"/>
        </w:rPr>
      </w:pPr>
      <w:r w:rsidRPr="00754A86">
        <w:rPr>
          <w:rStyle w:val="Refdenotaalpie"/>
          <w:rFonts w:ascii="Times New Roman" w:hAnsi="Times New Roman" w:cs="Times New Roman"/>
        </w:rPr>
        <w:footnoteRef/>
      </w:r>
      <w:r w:rsidRPr="00754A86">
        <w:rPr>
          <w:rFonts w:ascii="Times New Roman" w:hAnsi="Times New Roman" w:cs="Times New Roman"/>
        </w:rPr>
        <w:t xml:space="preserve"> </w:t>
      </w:r>
      <w:r w:rsidRPr="00754A86">
        <w:rPr>
          <w:rFonts w:ascii="Times New Roman" w:hAnsi="Times New Roman" w:cs="Times New Roman"/>
          <w:i/>
        </w:rPr>
        <w:t xml:space="preserve">Revista Gerente, </w:t>
      </w:r>
      <w:r w:rsidRPr="00754A86">
        <w:rPr>
          <w:rFonts w:ascii="Times New Roman" w:hAnsi="Times New Roman" w:cs="Times New Roman"/>
        </w:rPr>
        <w:t xml:space="preserve">No. 181, mayo de 2013. </w:t>
      </w:r>
    </w:p>
  </w:footnote>
  <w:footnote w:id="3">
    <w:p w:rsidR="00895E90" w:rsidRPr="00754A86" w:rsidRDefault="00895E90" w:rsidP="00895E90">
      <w:pPr>
        <w:pStyle w:val="Textonotapie"/>
        <w:jc w:val="both"/>
        <w:rPr>
          <w:rFonts w:ascii="Times New Roman" w:hAnsi="Times New Roman" w:cs="Times New Roman"/>
        </w:rPr>
      </w:pPr>
      <w:r w:rsidRPr="00754A86">
        <w:rPr>
          <w:rStyle w:val="Refdenotaalpie"/>
          <w:rFonts w:ascii="Times New Roman" w:hAnsi="Times New Roman" w:cs="Times New Roman"/>
        </w:rPr>
        <w:footnoteRef/>
      </w:r>
      <w:r w:rsidRPr="00754A86">
        <w:rPr>
          <w:rFonts w:ascii="Times New Roman" w:hAnsi="Times New Roman" w:cs="Times New Roman"/>
        </w:rPr>
        <w:t xml:space="preserve"> Para el año 2010, el programa había beneficiado a 11 mil 544 jóvenes, el 71% de estratos 1 y 2. </w:t>
      </w:r>
      <w:r w:rsidRPr="00754A86">
        <w:rPr>
          <w:rFonts w:ascii="Times New Roman" w:hAnsi="Times New Roman" w:cs="Times New Roman"/>
          <w:i/>
        </w:rPr>
        <w:t xml:space="preserve">Boletín Informativo EPM, </w:t>
      </w:r>
      <w:r w:rsidRPr="00754A86">
        <w:rPr>
          <w:rFonts w:ascii="Times New Roman" w:hAnsi="Times New Roman" w:cs="Times New Roman"/>
        </w:rPr>
        <w:t>20 de septiembre de 2010.</w:t>
      </w:r>
    </w:p>
  </w:footnote>
  <w:footnote w:id="4">
    <w:p w:rsidR="00895E90" w:rsidRPr="00754A86" w:rsidRDefault="00895E90" w:rsidP="00895E90">
      <w:pPr>
        <w:pStyle w:val="Textonotapie"/>
        <w:jc w:val="both"/>
        <w:rPr>
          <w:rFonts w:ascii="Times New Roman" w:hAnsi="Times New Roman" w:cs="Times New Roman"/>
        </w:rPr>
      </w:pPr>
      <w:r w:rsidRPr="00754A86">
        <w:rPr>
          <w:rStyle w:val="Refdenotaalpie"/>
          <w:rFonts w:ascii="Times New Roman" w:hAnsi="Times New Roman" w:cs="Times New Roman"/>
        </w:rPr>
        <w:footnoteRef/>
      </w:r>
      <w:r w:rsidRPr="00754A86">
        <w:rPr>
          <w:rFonts w:ascii="Times New Roman" w:hAnsi="Times New Roman" w:cs="Times New Roman"/>
        </w:rPr>
        <w:t xml:space="preserve"> </w:t>
      </w:r>
      <w:hyperlink r:id="rId1" w:history="1">
        <w:r w:rsidRPr="00754A86">
          <w:rPr>
            <w:rStyle w:val="Hipervnculo"/>
            <w:rFonts w:ascii="Times New Roman" w:hAnsi="Times New Roman" w:cs="Times New Roman"/>
          </w:rPr>
          <w:t>http://www.elcolombiano.com/medellin-innovadora.asp</w:t>
        </w:r>
      </w:hyperlink>
    </w:p>
  </w:footnote>
  <w:footnote w:id="5">
    <w:p w:rsidR="009F6131" w:rsidRDefault="009F6131">
      <w:pPr>
        <w:pStyle w:val="Textonotapie"/>
      </w:pPr>
      <w:r>
        <w:rPr>
          <w:rStyle w:val="Refdenotaalpie"/>
        </w:rPr>
        <w:footnoteRef/>
      </w:r>
      <w:r>
        <w:t xml:space="preserve"> En el apartado “discusión” se propone una estrategia investigativa para enfrentar la tercera debilidad.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552"/>
    <w:multiLevelType w:val="hybridMultilevel"/>
    <w:tmpl w:val="1CDC7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DE5968"/>
    <w:multiLevelType w:val="hybridMultilevel"/>
    <w:tmpl w:val="699C0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EE6591"/>
    <w:multiLevelType w:val="hybridMultilevel"/>
    <w:tmpl w:val="5D920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51303E"/>
    <w:multiLevelType w:val="hybridMultilevel"/>
    <w:tmpl w:val="F8489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324988"/>
    <w:multiLevelType w:val="hybridMultilevel"/>
    <w:tmpl w:val="41D046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E6418EB"/>
    <w:multiLevelType w:val="hybridMultilevel"/>
    <w:tmpl w:val="605ABD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E4665DD"/>
    <w:multiLevelType w:val="hybridMultilevel"/>
    <w:tmpl w:val="46023028"/>
    <w:lvl w:ilvl="0" w:tplc="240A000F">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32F4018"/>
    <w:multiLevelType w:val="hybridMultilevel"/>
    <w:tmpl w:val="23722E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69A6693"/>
    <w:multiLevelType w:val="hybridMultilevel"/>
    <w:tmpl w:val="DACEB4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B8F6285"/>
    <w:multiLevelType w:val="hybridMultilevel"/>
    <w:tmpl w:val="F3C219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F0067B"/>
    <w:multiLevelType w:val="hybridMultilevel"/>
    <w:tmpl w:val="A54A8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35103D2"/>
    <w:multiLevelType w:val="hybridMultilevel"/>
    <w:tmpl w:val="9F5E5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E7F05F1"/>
    <w:multiLevelType w:val="hybridMultilevel"/>
    <w:tmpl w:val="611CEE8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0F90313"/>
    <w:multiLevelType w:val="hybridMultilevel"/>
    <w:tmpl w:val="1CDC7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5C92263"/>
    <w:multiLevelType w:val="hybridMultilevel"/>
    <w:tmpl w:val="F510F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87528E7"/>
    <w:multiLevelType w:val="hybridMultilevel"/>
    <w:tmpl w:val="D2BCF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C945C4"/>
    <w:multiLevelType w:val="hybridMultilevel"/>
    <w:tmpl w:val="6E74D4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D6638B8"/>
    <w:multiLevelType w:val="hybridMultilevel"/>
    <w:tmpl w:val="617AD9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7D4224DC"/>
    <w:multiLevelType w:val="hybridMultilevel"/>
    <w:tmpl w:val="71B466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3"/>
  </w:num>
  <w:num w:numId="5">
    <w:abstractNumId w:val="18"/>
  </w:num>
  <w:num w:numId="6">
    <w:abstractNumId w:val="6"/>
  </w:num>
  <w:num w:numId="7">
    <w:abstractNumId w:val="16"/>
  </w:num>
  <w:num w:numId="8">
    <w:abstractNumId w:val="12"/>
  </w:num>
  <w:num w:numId="9">
    <w:abstractNumId w:val="0"/>
  </w:num>
  <w:num w:numId="10">
    <w:abstractNumId w:val="7"/>
  </w:num>
  <w:num w:numId="11">
    <w:abstractNumId w:val="5"/>
  </w:num>
  <w:num w:numId="12">
    <w:abstractNumId w:val="1"/>
  </w:num>
  <w:num w:numId="13">
    <w:abstractNumId w:val="9"/>
  </w:num>
  <w:num w:numId="14">
    <w:abstractNumId w:val="2"/>
  </w:num>
  <w:num w:numId="15">
    <w:abstractNumId w:val="10"/>
  </w:num>
  <w:num w:numId="16">
    <w:abstractNumId w:val="17"/>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13"/>
    <w:rsid w:val="00001797"/>
    <w:rsid w:val="0000249E"/>
    <w:rsid w:val="00010A71"/>
    <w:rsid w:val="0001142A"/>
    <w:rsid w:val="00016843"/>
    <w:rsid w:val="00017C6C"/>
    <w:rsid w:val="00030C75"/>
    <w:rsid w:val="000370AF"/>
    <w:rsid w:val="00052E64"/>
    <w:rsid w:val="00054E6D"/>
    <w:rsid w:val="000565DE"/>
    <w:rsid w:val="00061DA8"/>
    <w:rsid w:val="00062E3A"/>
    <w:rsid w:val="00070A06"/>
    <w:rsid w:val="000723B8"/>
    <w:rsid w:val="0007433D"/>
    <w:rsid w:val="00080DC1"/>
    <w:rsid w:val="00086402"/>
    <w:rsid w:val="00087A5F"/>
    <w:rsid w:val="00091B27"/>
    <w:rsid w:val="00097CB4"/>
    <w:rsid w:val="00097F98"/>
    <w:rsid w:val="000B35A7"/>
    <w:rsid w:val="000B4C72"/>
    <w:rsid w:val="000C00F7"/>
    <w:rsid w:val="000C2D9B"/>
    <w:rsid w:val="000C3D15"/>
    <w:rsid w:val="000C4EB0"/>
    <w:rsid w:val="000D7E39"/>
    <w:rsid w:val="000E152A"/>
    <w:rsid w:val="000E4374"/>
    <w:rsid w:val="000E45CB"/>
    <w:rsid w:val="000E684B"/>
    <w:rsid w:val="000F5639"/>
    <w:rsid w:val="000F5A89"/>
    <w:rsid w:val="0010532E"/>
    <w:rsid w:val="00105DB7"/>
    <w:rsid w:val="00105FCE"/>
    <w:rsid w:val="00112A50"/>
    <w:rsid w:val="00113579"/>
    <w:rsid w:val="001170AE"/>
    <w:rsid w:val="001249FD"/>
    <w:rsid w:val="00125581"/>
    <w:rsid w:val="001325E5"/>
    <w:rsid w:val="00134431"/>
    <w:rsid w:val="001352F2"/>
    <w:rsid w:val="00137925"/>
    <w:rsid w:val="001437A4"/>
    <w:rsid w:val="00144382"/>
    <w:rsid w:val="00144B26"/>
    <w:rsid w:val="00152780"/>
    <w:rsid w:val="00165B8C"/>
    <w:rsid w:val="00176264"/>
    <w:rsid w:val="00177F2E"/>
    <w:rsid w:val="00185C80"/>
    <w:rsid w:val="00185F3B"/>
    <w:rsid w:val="00191E60"/>
    <w:rsid w:val="001A13D2"/>
    <w:rsid w:val="001B0227"/>
    <w:rsid w:val="001B2851"/>
    <w:rsid w:val="001B3EA2"/>
    <w:rsid w:val="001B58CF"/>
    <w:rsid w:val="001C03C4"/>
    <w:rsid w:val="001C3FD0"/>
    <w:rsid w:val="001C7A0E"/>
    <w:rsid w:val="001C7BB1"/>
    <w:rsid w:val="001D5960"/>
    <w:rsid w:val="001E0CCB"/>
    <w:rsid w:val="001E1EF0"/>
    <w:rsid w:val="001E3134"/>
    <w:rsid w:val="001E5327"/>
    <w:rsid w:val="001F0BE1"/>
    <w:rsid w:val="001F37AE"/>
    <w:rsid w:val="001F383F"/>
    <w:rsid w:val="001F4918"/>
    <w:rsid w:val="001F50DB"/>
    <w:rsid w:val="001F5DD5"/>
    <w:rsid w:val="001F5EE6"/>
    <w:rsid w:val="001F62CD"/>
    <w:rsid w:val="001F6685"/>
    <w:rsid w:val="001F6850"/>
    <w:rsid w:val="002011D0"/>
    <w:rsid w:val="0020446C"/>
    <w:rsid w:val="00206788"/>
    <w:rsid w:val="002111CE"/>
    <w:rsid w:val="002154E9"/>
    <w:rsid w:val="002157BF"/>
    <w:rsid w:val="00215F64"/>
    <w:rsid w:val="00220733"/>
    <w:rsid w:val="0022156D"/>
    <w:rsid w:val="002215B6"/>
    <w:rsid w:val="00226AE6"/>
    <w:rsid w:val="002317AF"/>
    <w:rsid w:val="00232C68"/>
    <w:rsid w:val="00236E83"/>
    <w:rsid w:val="00237094"/>
    <w:rsid w:val="002404E2"/>
    <w:rsid w:val="002410E7"/>
    <w:rsid w:val="0024254D"/>
    <w:rsid w:val="00250465"/>
    <w:rsid w:val="002519D8"/>
    <w:rsid w:val="0027137F"/>
    <w:rsid w:val="00271C53"/>
    <w:rsid w:val="00281BCB"/>
    <w:rsid w:val="00282905"/>
    <w:rsid w:val="002866F6"/>
    <w:rsid w:val="00295B3E"/>
    <w:rsid w:val="00295FA4"/>
    <w:rsid w:val="002A37B4"/>
    <w:rsid w:val="002A67D9"/>
    <w:rsid w:val="002A79FF"/>
    <w:rsid w:val="002B22DE"/>
    <w:rsid w:val="002B28B8"/>
    <w:rsid w:val="002B3373"/>
    <w:rsid w:val="002B7D7D"/>
    <w:rsid w:val="002B7EEB"/>
    <w:rsid w:val="002C16B8"/>
    <w:rsid w:val="002C4DD4"/>
    <w:rsid w:val="002C72C1"/>
    <w:rsid w:val="002D2D2D"/>
    <w:rsid w:val="002E0C95"/>
    <w:rsid w:val="002E10F4"/>
    <w:rsid w:val="002E5742"/>
    <w:rsid w:val="002F2430"/>
    <w:rsid w:val="00305BDC"/>
    <w:rsid w:val="0030766F"/>
    <w:rsid w:val="00312025"/>
    <w:rsid w:val="00313F95"/>
    <w:rsid w:val="00314C76"/>
    <w:rsid w:val="00315BC2"/>
    <w:rsid w:val="003205D2"/>
    <w:rsid w:val="00322E5B"/>
    <w:rsid w:val="00322EBF"/>
    <w:rsid w:val="00330291"/>
    <w:rsid w:val="00332070"/>
    <w:rsid w:val="003335F8"/>
    <w:rsid w:val="00337F4F"/>
    <w:rsid w:val="00343184"/>
    <w:rsid w:val="0034421B"/>
    <w:rsid w:val="003561A1"/>
    <w:rsid w:val="003632D4"/>
    <w:rsid w:val="003733A5"/>
    <w:rsid w:val="00374CBA"/>
    <w:rsid w:val="00374F5A"/>
    <w:rsid w:val="0038047B"/>
    <w:rsid w:val="003862A8"/>
    <w:rsid w:val="0038741F"/>
    <w:rsid w:val="00387A7C"/>
    <w:rsid w:val="00387DE8"/>
    <w:rsid w:val="0039219B"/>
    <w:rsid w:val="00394D23"/>
    <w:rsid w:val="003A32B2"/>
    <w:rsid w:val="003A4489"/>
    <w:rsid w:val="003A61BB"/>
    <w:rsid w:val="003B0FD0"/>
    <w:rsid w:val="003B33AB"/>
    <w:rsid w:val="003B3F18"/>
    <w:rsid w:val="003C14EC"/>
    <w:rsid w:val="003C19E6"/>
    <w:rsid w:val="003D021A"/>
    <w:rsid w:val="003D0981"/>
    <w:rsid w:val="003F21AA"/>
    <w:rsid w:val="00400240"/>
    <w:rsid w:val="00400D8D"/>
    <w:rsid w:val="00406080"/>
    <w:rsid w:val="0041167F"/>
    <w:rsid w:val="00413F97"/>
    <w:rsid w:val="004150B3"/>
    <w:rsid w:val="00417F15"/>
    <w:rsid w:val="00430BBA"/>
    <w:rsid w:val="004358C9"/>
    <w:rsid w:val="00436923"/>
    <w:rsid w:val="00441DF0"/>
    <w:rsid w:val="004427DD"/>
    <w:rsid w:val="004476B9"/>
    <w:rsid w:val="00447956"/>
    <w:rsid w:val="00452306"/>
    <w:rsid w:val="00453504"/>
    <w:rsid w:val="00460805"/>
    <w:rsid w:val="004631A7"/>
    <w:rsid w:val="00472BD5"/>
    <w:rsid w:val="00472D09"/>
    <w:rsid w:val="00475EFE"/>
    <w:rsid w:val="004834B6"/>
    <w:rsid w:val="00484A77"/>
    <w:rsid w:val="0049467C"/>
    <w:rsid w:val="004A4354"/>
    <w:rsid w:val="004A7B69"/>
    <w:rsid w:val="004B1323"/>
    <w:rsid w:val="004B4366"/>
    <w:rsid w:val="004C157D"/>
    <w:rsid w:val="004C1805"/>
    <w:rsid w:val="004C3629"/>
    <w:rsid w:val="004D034F"/>
    <w:rsid w:val="004E567F"/>
    <w:rsid w:val="004E6140"/>
    <w:rsid w:val="004F151F"/>
    <w:rsid w:val="004F1944"/>
    <w:rsid w:val="00503221"/>
    <w:rsid w:val="00506EE7"/>
    <w:rsid w:val="00511637"/>
    <w:rsid w:val="00520D2E"/>
    <w:rsid w:val="00521172"/>
    <w:rsid w:val="00522E8F"/>
    <w:rsid w:val="00523695"/>
    <w:rsid w:val="005238D7"/>
    <w:rsid w:val="00523D69"/>
    <w:rsid w:val="00531404"/>
    <w:rsid w:val="00537D27"/>
    <w:rsid w:val="00545AA6"/>
    <w:rsid w:val="00567F9F"/>
    <w:rsid w:val="00572A28"/>
    <w:rsid w:val="00573B95"/>
    <w:rsid w:val="005779FA"/>
    <w:rsid w:val="00582738"/>
    <w:rsid w:val="00584441"/>
    <w:rsid w:val="005863F3"/>
    <w:rsid w:val="00586793"/>
    <w:rsid w:val="00596F63"/>
    <w:rsid w:val="005A22D7"/>
    <w:rsid w:val="005A235F"/>
    <w:rsid w:val="005A2CCF"/>
    <w:rsid w:val="005A5D66"/>
    <w:rsid w:val="005A78CD"/>
    <w:rsid w:val="005B6F66"/>
    <w:rsid w:val="005C7424"/>
    <w:rsid w:val="005D04FA"/>
    <w:rsid w:val="005D703B"/>
    <w:rsid w:val="005E48F1"/>
    <w:rsid w:val="005E565A"/>
    <w:rsid w:val="005E5946"/>
    <w:rsid w:val="005F0869"/>
    <w:rsid w:val="005F29B1"/>
    <w:rsid w:val="005F6F6B"/>
    <w:rsid w:val="00600DB2"/>
    <w:rsid w:val="006018E5"/>
    <w:rsid w:val="00601B28"/>
    <w:rsid w:val="00601D33"/>
    <w:rsid w:val="006057B9"/>
    <w:rsid w:val="00612416"/>
    <w:rsid w:val="00613F4A"/>
    <w:rsid w:val="006217AC"/>
    <w:rsid w:val="00633044"/>
    <w:rsid w:val="0063615F"/>
    <w:rsid w:val="006368F3"/>
    <w:rsid w:val="006442A4"/>
    <w:rsid w:val="0064737A"/>
    <w:rsid w:val="006474CC"/>
    <w:rsid w:val="006505BD"/>
    <w:rsid w:val="00652F30"/>
    <w:rsid w:val="00653FFC"/>
    <w:rsid w:val="0066047C"/>
    <w:rsid w:val="0068273F"/>
    <w:rsid w:val="00683503"/>
    <w:rsid w:val="00686D7A"/>
    <w:rsid w:val="00691FF5"/>
    <w:rsid w:val="0069279B"/>
    <w:rsid w:val="00694041"/>
    <w:rsid w:val="00697A54"/>
    <w:rsid w:val="006B3A72"/>
    <w:rsid w:val="006B4FD7"/>
    <w:rsid w:val="006C17BA"/>
    <w:rsid w:val="006C1EAD"/>
    <w:rsid w:val="006C70C1"/>
    <w:rsid w:val="006C779F"/>
    <w:rsid w:val="006C7DBB"/>
    <w:rsid w:val="006D0891"/>
    <w:rsid w:val="006D48A7"/>
    <w:rsid w:val="006D4C08"/>
    <w:rsid w:val="006E3E4C"/>
    <w:rsid w:val="006E7680"/>
    <w:rsid w:val="006F2284"/>
    <w:rsid w:val="006F60B6"/>
    <w:rsid w:val="006F634C"/>
    <w:rsid w:val="006F7E1A"/>
    <w:rsid w:val="007028E0"/>
    <w:rsid w:val="00706113"/>
    <w:rsid w:val="00714536"/>
    <w:rsid w:val="00724244"/>
    <w:rsid w:val="007263BE"/>
    <w:rsid w:val="00727B73"/>
    <w:rsid w:val="0073331A"/>
    <w:rsid w:val="00735B1C"/>
    <w:rsid w:val="007439DC"/>
    <w:rsid w:val="00745BF3"/>
    <w:rsid w:val="00747B02"/>
    <w:rsid w:val="00751A50"/>
    <w:rsid w:val="00751D49"/>
    <w:rsid w:val="007521C2"/>
    <w:rsid w:val="00754A86"/>
    <w:rsid w:val="00766516"/>
    <w:rsid w:val="0076706F"/>
    <w:rsid w:val="00776393"/>
    <w:rsid w:val="007768DE"/>
    <w:rsid w:val="00794B30"/>
    <w:rsid w:val="007968B5"/>
    <w:rsid w:val="007A249C"/>
    <w:rsid w:val="007A2C94"/>
    <w:rsid w:val="007A5FD6"/>
    <w:rsid w:val="007B2D5D"/>
    <w:rsid w:val="007B404D"/>
    <w:rsid w:val="007B4B61"/>
    <w:rsid w:val="007C5C90"/>
    <w:rsid w:val="007C7053"/>
    <w:rsid w:val="007D4A92"/>
    <w:rsid w:val="007D6703"/>
    <w:rsid w:val="007E1426"/>
    <w:rsid w:val="007E648F"/>
    <w:rsid w:val="007F0886"/>
    <w:rsid w:val="007F1A75"/>
    <w:rsid w:val="007F28F8"/>
    <w:rsid w:val="007F2D5C"/>
    <w:rsid w:val="00804E84"/>
    <w:rsid w:val="00805998"/>
    <w:rsid w:val="00807CAA"/>
    <w:rsid w:val="00807F33"/>
    <w:rsid w:val="00816120"/>
    <w:rsid w:val="0082314D"/>
    <w:rsid w:val="00830DF6"/>
    <w:rsid w:val="008313F6"/>
    <w:rsid w:val="008323B2"/>
    <w:rsid w:val="00837CE8"/>
    <w:rsid w:val="00843C34"/>
    <w:rsid w:val="00843F11"/>
    <w:rsid w:val="00844F94"/>
    <w:rsid w:val="0084701E"/>
    <w:rsid w:val="00852E09"/>
    <w:rsid w:val="00861FC5"/>
    <w:rsid w:val="00863527"/>
    <w:rsid w:val="008644E5"/>
    <w:rsid w:val="00864F1E"/>
    <w:rsid w:val="00865D1F"/>
    <w:rsid w:val="0087089A"/>
    <w:rsid w:val="00883DC4"/>
    <w:rsid w:val="008844BB"/>
    <w:rsid w:val="00884A0C"/>
    <w:rsid w:val="00886115"/>
    <w:rsid w:val="00886480"/>
    <w:rsid w:val="00887905"/>
    <w:rsid w:val="00894679"/>
    <w:rsid w:val="00895E90"/>
    <w:rsid w:val="008A2339"/>
    <w:rsid w:val="008A44C9"/>
    <w:rsid w:val="008A7996"/>
    <w:rsid w:val="008B2D7C"/>
    <w:rsid w:val="008B35A7"/>
    <w:rsid w:val="008B70E0"/>
    <w:rsid w:val="008D1CF7"/>
    <w:rsid w:val="008D5D87"/>
    <w:rsid w:val="008D5EC9"/>
    <w:rsid w:val="008E4AB1"/>
    <w:rsid w:val="008F3B96"/>
    <w:rsid w:val="00900141"/>
    <w:rsid w:val="00901063"/>
    <w:rsid w:val="009139BB"/>
    <w:rsid w:val="00917664"/>
    <w:rsid w:val="00920994"/>
    <w:rsid w:val="00937AF7"/>
    <w:rsid w:val="00950516"/>
    <w:rsid w:val="00953122"/>
    <w:rsid w:val="0095469D"/>
    <w:rsid w:val="00955773"/>
    <w:rsid w:val="0095581B"/>
    <w:rsid w:val="009561DB"/>
    <w:rsid w:val="00956DDA"/>
    <w:rsid w:val="009653CB"/>
    <w:rsid w:val="00966BAC"/>
    <w:rsid w:val="00966FA5"/>
    <w:rsid w:val="00970EEA"/>
    <w:rsid w:val="00977C9F"/>
    <w:rsid w:val="0098081E"/>
    <w:rsid w:val="00984666"/>
    <w:rsid w:val="00991AC0"/>
    <w:rsid w:val="00993183"/>
    <w:rsid w:val="009958DB"/>
    <w:rsid w:val="009964AE"/>
    <w:rsid w:val="0099798D"/>
    <w:rsid w:val="009A0BA6"/>
    <w:rsid w:val="009A1284"/>
    <w:rsid w:val="009A5FE6"/>
    <w:rsid w:val="009B4159"/>
    <w:rsid w:val="009B4854"/>
    <w:rsid w:val="009D22D1"/>
    <w:rsid w:val="009D2B85"/>
    <w:rsid w:val="009D3813"/>
    <w:rsid w:val="009D594B"/>
    <w:rsid w:val="009E3F98"/>
    <w:rsid w:val="009E78B0"/>
    <w:rsid w:val="009F60E5"/>
    <w:rsid w:val="009F6131"/>
    <w:rsid w:val="00A01510"/>
    <w:rsid w:val="00A0379B"/>
    <w:rsid w:val="00A12182"/>
    <w:rsid w:val="00A13874"/>
    <w:rsid w:val="00A1401E"/>
    <w:rsid w:val="00A24902"/>
    <w:rsid w:val="00A30061"/>
    <w:rsid w:val="00A31930"/>
    <w:rsid w:val="00A3269C"/>
    <w:rsid w:val="00A41720"/>
    <w:rsid w:val="00A45D0B"/>
    <w:rsid w:val="00A562E6"/>
    <w:rsid w:val="00A6353C"/>
    <w:rsid w:val="00A65C65"/>
    <w:rsid w:val="00A67962"/>
    <w:rsid w:val="00A7535D"/>
    <w:rsid w:val="00A77E66"/>
    <w:rsid w:val="00A82A0B"/>
    <w:rsid w:val="00A9115A"/>
    <w:rsid w:val="00A93D89"/>
    <w:rsid w:val="00A94E4B"/>
    <w:rsid w:val="00A95695"/>
    <w:rsid w:val="00A95EF9"/>
    <w:rsid w:val="00A9641C"/>
    <w:rsid w:val="00A97CC1"/>
    <w:rsid w:val="00AA0856"/>
    <w:rsid w:val="00AA293E"/>
    <w:rsid w:val="00AA7A55"/>
    <w:rsid w:val="00AB08D1"/>
    <w:rsid w:val="00AB0CCA"/>
    <w:rsid w:val="00AC2173"/>
    <w:rsid w:val="00AC2352"/>
    <w:rsid w:val="00AC3B68"/>
    <w:rsid w:val="00AD13C3"/>
    <w:rsid w:val="00AE014B"/>
    <w:rsid w:val="00AE333F"/>
    <w:rsid w:val="00AF0111"/>
    <w:rsid w:val="00AF0329"/>
    <w:rsid w:val="00AF343B"/>
    <w:rsid w:val="00AF7F68"/>
    <w:rsid w:val="00B14AE9"/>
    <w:rsid w:val="00B16A9E"/>
    <w:rsid w:val="00B246BE"/>
    <w:rsid w:val="00B306F1"/>
    <w:rsid w:val="00B3260C"/>
    <w:rsid w:val="00B35B78"/>
    <w:rsid w:val="00B376C5"/>
    <w:rsid w:val="00B53461"/>
    <w:rsid w:val="00B568E6"/>
    <w:rsid w:val="00B57733"/>
    <w:rsid w:val="00B62327"/>
    <w:rsid w:val="00B651E3"/>
    <w:rsid w:val="00B756F2"/>
    <w:rsid w:val="00B77BDA"/>
    <w:rsid w:val="00B825C8"/>
    <w:rsid w:val="00B85D0A"/>
    <w:rsid w:val="00B86162"/>
    <w:rsid w:val="00B9179B"/>
    <w:rsid w:val="00B95096"/>
    <w:rsid w:val="00B9594A"/>
    <w:rsid w:val="00B9717A"/>
    <w:rsid w:val="00BA1992"/>
    <w:rsid w:val="00BA1F5B"/>
    <w:rsid w:val="00BA3DE7"/>
    <w:rsid w:val="00BA734D"/>
    <w:rsid w:val="00BC1726"/>
    <w:rsid w:val="00BC3B6E"/>
    <w:rsid w:val="00BC507E"/>
    <w:rsid w:val="00BC71E5"/>
    <w:rsid w:val="00BC74FE"/>
    <w:rsid w:val="00BD03E3"/>
    <w:rsid w:val="00BD43E7"/>
    <w:rsid w:val="00BE0075"/>
    <w:rsid w:val="00BE03DA"/>
    <w:rsid w:val="00BE087E"/>
    <w:rsid w:val="00BE0DEF"/>
    <w:rsid w:val="00BE16CA"/>
    <w:rsid w:val="00BF203C"/>
    <w:rsid w:val="00BF3DC2"/>
    <w:rsid w:val="00BF44E3"/>
    <w:rsid w:val="00BF7FF6"/>
    <w:rsid w:val="00C1671C"/>
    <w:rsid w:val="00C220E2"/>
    <w:rsid w:val="00C32625"/>
    <w:rsid w:val="00C373B5"/>
    <w:rsid w:val="00C37B58"/>
    <w:rsid w:val="00C41EB0"/>
    <w:rsid w:val="00C45BA4"/>
    <w:rsid w:val="00C46D6E"/>
    <w:rsid w:val="00C524D6"/>
    <w:rsid w:val="00C53A57"/>
    <w:rsid w:val="00C63202"/>
    <w:rsid w:val="00C63399"/>
    <w:rsid w:val="00C63E2C"/>
    <w:rsid w:val="00C63EBE"/>
    <w:rsid w:val="00C64A71"/>
    <w:rsid w:val="00C72142"/>
    <w:rsid w:val="00C72DCD"/>
    <w:rsid w:val="00C80509"/>
    <w:rsid w:val="00C84A1B"/>
    <w:rsid w:val="00C903C4"/>
    <w:rsid w:val="00C906F2"/>
    <w:rsid w:val="00C920AD"/>
    <w:rsid w:val="00C9442E"/>
    <w:rsid w:val="00CA3AC7"/>
    <w:rsid w:val="00CB540C"/>
    <w:rsid w:val="00CB6C2D"/>
    <w:rsid w:val="00CC0D2B"/>
    <w:rsid w:val="00CC60B4"/>
    <w:rsid w:val="00CC6DF2"/>
    <w:rsid w:val="00CD1CB1"/>
    <w:rsid w:val="00CD3776"/>
    <w:rsid w:val="00CD3860"/>
    <w:rsid w:val="00CD3E51"/>
    <w:rsid w:val="00CD5042"/>
    <w:rsid w:val="00CE35DF"/>
    <w:rsid w:val="00CE670A"/>
    <w:rsid w:val="00CF0485"/>
    <w:rsid w:val="00CF2652"/>
    <w:rsid w:val="00CF5391"/>
    <w:rsid w:val="00CF6EE1"/>
    <w:rsid w:val="00D01A96"/>
    <w:rsid w:val="00D06050"/>
    <w:rsid w:val="00D06446"/>
    <w:rsid w:val="00D070A2"/>
    <w:rsid w:val="00D133F0"/>
    <w:rsid w:val="00D13E13"/>
    <w:rsid w:val="00D14FA6"/>
    <w:rsid w:val="00D17965"/>
    <w:rsid w:val="00D22CF5"/>
    <w:rsid w:val="00D2693B"/>
    <w:rsid w:val="00D2729B"/>
    <w:rsid w:val="00D336AC"/>
    <w:rsid w:val="00D425C9"/>
    <w:rsid w:val="00D43F9B"/>
    <w:rsid w:val="00D4780F"/>
    <w:rsid w:val="00D5380B"/>
    <w:rsid w:val="00D5642F"/>
    <w:rsid w:val="00D574F7"/>
    <w:rsid w:val="00D5770A"/>
    <w:rsid w:val="00D605C0"/>
    <w:rsid w:val="00D60623"/>
    <w:rsid w:val="00D64F51"/>
    <w:rsid w:val="00D65D45"/>
    <w:rsid w:val="00D766B3"/>
    <w:rsid w:val="00D87382"/>
    <w:rsid w:val="00DA3548"/>
    <w:rsid w:val="00DA3F55"/>
    <w:rsid w:val="00DA5DE6"/>
    <w:rsid w:val="00DA6FE8"/>
    <w:rsid w:val="00DB0C4F"/>
    <w:rsid w:val="00DB2EB8"/>
    <w:rsid w:val="00DB6E8E"/>
    <w:rsid w:val="00DB6F8C"/>
    <w:rsid w:val="00DC0977"/>
    <w:rsid w:val="00DC0A4D"/>
    <w:rsid w:val="00DC1042"/>
    <w:rsid w:val="00DC1464"/>
    <w:rsid w:val="00DC5CB1"/>
    <w:rsid w:val="00DC67F3"/>
    <w:rsid w:val="00DC71A5"/>
    <w:rsid w:val="00DD5F0F"/>
    <w:rsid w:val="00DE6B2B"/>
    <w:rsid w:val="00DF0816"/>
    <w:rsid w:val="00DF15ED"/>
    <w:rsid w:val="00DF4815"/>
    <w:rsid w:val="00E0301F"/>
    <w:rsid w:val="00E10B66"/>
    <w:rsid w:val="00E115CD"/>
    <w:rsid w:val="00E21453"/>
    <w:rsid w:val="00E27A71"/>
    <w:rsid w:val="00E31DA7"/>
    <w:rsid w:val="00E33BEE"/>
    <w:rsid w:val="00E35B42"/>
    <w:rsid w:val="00E37388"/>
    <w:rsid w:val="00E40FED"/>
    <w:rsid w:val="00E536E5"/>
    <w:rsid w:val="00E541F7"/>
    <w:rsid w:val="00E54B36"/>
    <w:rsid w:val="00E56FFC"/>
    <w:rsid w:val="00E66C2B"/>
    <w:rsid w:val="00E67A97"/>
    <w:rsid w:val="00E935F5"/>
    <w:rsid w:val="00EA5C8B"/>
    <w:rsid w:val="00EB5456"/>
    <w:rsid w:val="00EB6669"/>
    <w:rsid w:val="00EC0116"/>
    <w:rsid w:val="00EC1081"/>
    <w:rsid w:val="00EC1566"/>
    <w:rsid w:val="00EC2E1A"/>
    <w:rsid w:val="00EC302A"/>
    <w:rsid w:val="00EC6C99"/>
    <w:rsid w:val="00EC6D60"/>
    <w:rsid w:val="00ED06C9"/>
    <w:rsid w:val="00ED1E86"/>
    <w:rsid w:val="00ED78B9"/>
    <w:rsid w:val="00EE4AA7"/>
    <w:rsid w:val="00EF0308"/>
    <w:rsid w:val="00EF05E6"/>
    <w:rsid w:val="00EF471A"/>
    <w:rsid w:val="00EF5880"/>
    <w:rsid w:val="00EF7772"/>
    <w:rsid w:val="00EF78C1"/>
    <w:rsid w:val="00F045AD"/>
    <w:rsid w:val="00F1474A"/>
    <w:rsid w:val="00F14F00"/>
    <w:rsid w:val="00F167B2"/>
    <w:rsid w:val="00F16ED3"/>
    <w:rsid w:val="00F23439"/>
    <w:rsid w:val="00F2490A"/>
    <w:rsid w:val="00F35ED8"/>
    <w:rsid w:val="00F366A6"/>
    <w:rsid w:val="00F40639"/>
    <w:rsid w:val="00F46B66"/>
    <w:rsid w:val="00F500C8"/>
    <w:rsid w:val="00F56DCB"/>
    <w:rsid w:val="00F572A0"/>
    <w:rsid w:val="00F6106A"/>
    <w:rsid w:val="00F62585"/>
    <w:rsid w:val="00F6492D"/>
    <w:rsid w:val="00F671C3"/>
    <w:rsid w:val="00F70A21"/>
    <w:rsid w:val="00F74B66"/>
    <w:rsid w:val="00F81FFD"/>
    <w:rsid w:val="00F8654A"/>
    <w:rsid w:val="00F9389C"/>
    <w:rsid w:val="00FA29AD"/>
    <w:rsid w:val="00FA5909"/>
    <w:rsid w:val="00FB4578"/>
    <w:rsid w:val="00FB4DCE"/>
    <w:rsid w:val="00FC1D74"/>
    <w:rsid w:val="00FC2685"/>
    <w:rsid w:val="00FC2EC2"/>
    <w:rsid w:val="00FC66FF"/>
    <w:rsid w:val="00FC73DB"/>
    <w:rsid w:val="00FD2522"/>
    <w:rsid w:val="00FD27C6"/>
    <w:rsid w:val="00FE0540"/>
    <w:rsid w:val="00FE0E56"/>
    <w:rsid w:val="00FE7A14"/>
    <w:rsid w:val="00FF1355"/>
    <w:rsid w:val="00FF3F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9467C"/>
    <w:pPr>
      <w:spacing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467C"/>
    <w:rPr>
      <w:color w:val="0000FF" w:themeColor="hyperlink"/>
      <w:u w:val="single"/>
    </w:rPr>
  </w:style>
  <w:style w:type="paragraph" w:styleId="Textonotapie">
    <w:name w:val="footnote text"/>
    <w:aliases w:val="texto de nota al pie,Nota a pie/Bibliog,Texto nota pie Car1,Texto nota pie Car Car, Car1 Car Car, Car1 Car2, Car1,ft Car Car,ft Car,ft,Texto nota pie Car11,Texto nota pie Car Car1, Car1 Car Car1, Car1 Car21, Car11 Car Car, Car11 Car,Car1"/>
    <w:basedOn w:val="Normal"/>
    <w:link w:val="TextonotapieCar"/>
    <w:uiPriority w:val="99"/>
    <w:unhideWhenUsed/>
    <w:rsid w:val="00DC1042"/>
    <w:pPr>
      <w:spacing w:after="0"/>
    </w:pPr>
    <w:rPr>
      <w:rFonts w:asciiTheme="minorHAnsi" w:hAnsiTheme="minorHAnsi"/>
      <w:sz w:val="20"/>
      <w:szCs w:val="20"/>
      <w:lang w:val="es-CO"/>
    </w:rPr>
  </w:style>
  <w:style w:type="character" w:customStyle="1" w:styleId="TextonotapieCar">
    <w:name w:val="Texto nota pie Car"/>
    <w:aliases w:val="texto de nota al pie Car,Nota a pie/Bibliog Car,Texto nota pie Car1 Car,Texto nota pie Car Car Car, Car1 Car Car Car, Car1 Car2 Car, Car1 Car,ft Car Car Car,ft Car Car1,ft Car1,Texto nota pie Car11 Car,Texto nota pie Car Car1 Car"/>
    <w:basedOn w:val="Fuentedeprrafopredeter"/>
    <w:link w:val="Textonotapie"/>
    <w:uiPriority w:val="99"/>
    <w:rsid w:val="00DC1042"/>
    <w:rPr>
      <w:sz w:val="20"/>
      <w:szCs w:val="20"/>
    </w:rPr>
  </w:style>
  <w:style w:type="character" w:styleId="Refdenotaalpie">
    <w:name w:val="footnote reference"/>
    <w:basedOn w:val="Fuentedeprrafopredeter"/>
    <w:uiPriority w:val="99"/>
    <w:unhideWhenUsed/>
    <w:rsid w:val="00DC1042"/>
    <w:rPr>
      <w:vertAlign w:val="superscript"/>
    </w:rPr>
  </w:style>
  <w:style w:type="paragraph" w:styleId="Textodeglobo">
    <w:name w:val="Balloon Text"/>
    <w:basedOn w:val="Normal"/>
    <w:link w:val="TextodegloboCar"/>
    <w:uiPriority w:val="99"/>
    <w:semiHidden/>
    <w:unhideWhenUsed/>
    <w:rsid w:val="0058273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738"/>
    <w:rPr>
      <w:rFonts w:ascii="Tahoma" w:hAnsi="Tahoma" w:cs="Tahoma"/>
      <w:sz w:val="16"/>
      <w:szCs w:val="16"/>
      <w:lang w:val="en-US"/>
    </w:rPr>
  </w:style>
  <w:style w:type="character" w:customStyle="1" w:styleId="apple-converted-space">
    <w:name w:val="apple-converted-space"/>
    <w:basedOn w:val="Fuentedeprrafopredeter"/>
    <w:rsid w:val="00830DF6"/>
  </w:style>
  <w:style w:type="paragraph" w:styleId="NormalWeb">
    <w:name w:val="Normal (Web)"/>
    <w:basedOn w:val="Normal"/>
    <w:uiPriority w:val="99"/>
    <w:unhideWhenUsed/>
    <w:rsid w:val="00CB540C"/>
    <w:pPr>
      <w:spacing w:before="100" w:beforeAutospacing="1" w:after="100" w:afterAutospacing="1"/>
    </w:pPr>
    <w:rPr>
      <w:rFonts w:eastAsia="Times New Roman" w:cs="Times New Roman"/>
      <w:lang w:val="es-CO" w:eastAsia="es-CO"/>
    </w:rPr>
  </w:style>
  <w:style w:type="character" w:styleId="Refdecomentario">
    <w:name w:val="annotation reference"/>
    <w:basedOn w:val="Fuentedeprrafopredeter"/>
    <w:uiPriority w:val="99"/>
    <w:semiHidden/>
    <w:unhideWhenUsed/>
    <w:rsid w:val="00105DB7"/>
    <w:rPr>
      <w:sz w:val="16"/>
      <w:szCs w:val="16"/>
    </w:rPr>
  </w:style>
  <w:style w:type="paragraph" w:styleId="Textocomentario">
    <w:name w:val="annotation text"/>
    <w:basedOn w:val="Normal"/>
    <w:link w:val="TextocomentarioCar"/>
    <w:uiPriority w:val="99"/>
    <w:semiHidden/>
    <w:unhideWhenUsed/>
    <w:rsid w:val="00105DB7"/>
    <w:rPr>
      <w:sz w:val="20"/>
      <w:szCs w:val="20"/>
    </w:rPr>
  </w:style>
  <w:style w:type="character" w:customStyle="1" w:styleId="TextocomentarioCar">
    <w:name w:val="Texto comentario Car"/>
    <w:basedOn w:val="Fuentedeprrafopredeter"/>
    <w:link w:val="Textocomentario"/>
    <w:uiPriority w:val="99"/>
    <w:semiHidden/>
    <w:rsid w:val="00105DB7"/>
    <w:rPr>
      <w:rFonts w:ascii="Times New Roman" w:hAnsi="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05DB7"/>
    <w:rPr>
      <w:b/>
      <w:bCs/>
    </w:rPr>
  </w:style>
  <w:style w:type="character" w:customStyle="1" w:styleId="AsuntodelcomentarioCar">
    <w:name w:val="Asunto del comentario Car"/>
    <w:basedOn w:val="TextocomentarioCar"/>
    <w:link w:val="Asuntodelcomentario"/>
    <w:uiPriority w:val="99"/>
    <w:semiHidden/>
    <w:rsid w:val="00105DB7"/>
    <w:rPr>
      <w:rFonts w:ascii="Times New Roman" w:hAnsi="Times New Roman"/>
      <w:b/>
      <w:bCs/>
      <w:sz w:val="20"/>
      <w:szCs w:val="20"/>
      <w:lang w:val="en-US"/>
    </w:rPr>
  </w:style>
  <w:style w:type="paragraph" w:styleId="Prrafodelista">
    <w:name w:val="List Paragraph"/>
    <w:basedOn w:val="Normal"/>
    <w:uiPriority w:val="34"/>
    <w:qFormat/>
    <w:rsid w:val="00144382"/>
    <w:pPr>
      <w:ind w:left="720"/>
      <w:contextualSpacing/>
    </w:pPr>
  </w:style>
  <w:style w:type="table" w:styleId="Tablaconcuadrcula">
    <w:name w:val="Table Grid"/>
    <w:basedOn w:val="Tablanormal"/>
    <w:uiPriority w:val="59"/>
    <w:rsid w:val="00FC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B35A7"/>
    <w:rPr>
      <w:i/>
    </w:rPr>
  </w:style>
  <w:style w:type="paragraph" w:styleId="Bibliografa">
    <w:name w:val="Bibliography"/>
    <w:basedOn w:val="Normal"/>
    <w:next w:val="Normal"/>
    <w:uiPriority w:val="99"/>
    <w:rsid w:val="007521C2"/>
    <w:pPr>
      <w:spacing w:line="276" w:lineRule="auto"/>
    </w:pPr>
    <w:rPr>
      <w:rFonts w:ascii="Calibri" w:eastAsia="Calibri" w:hAnsi="Calibri" w:cs="Times New Roman"/>
      <w:sz w:val="22"/>
      <w:szCs w:val="22"/>
      <w:lang w:val="es-CO"/>
    </w:rPr>
  </w:style>
  <w:style w:type="paragraph" w:styleId="Encabezado">
    <w:name w:val="header"/>
    <w:basedOn w:val="Normal"/>
    <w:link w:val="EncabezadoCar"/>
    <w:uiPriority w:val="99"/>
    <w:unhideWhenUsed/>
    <w:rsid w:val="006217AC"/>
    <w:pPr>
      <w:tabs>
        <w:tab w:val="center" w:pos="4419"/>
        <w:tab w:val="right" w:pos="8838"/>
      </w:tabs>
      <w:spacing w:after="0"/>
    </w:pPr>
  </w:style>
  <w:style w:type="character" w:customStyle="1" w:styleId="EncabezadoCar">
    <w:name w:val="Encabezado Car"/>
    <w:basedOn w:val="Fuentedeprrafopredeter"/>
    <w:link w:val="Encabezado"/>
    <w:uiPriority w:val="99"/>
    <w:rsid w:val="006217AC"/>
    <w:rPr>
      <w:rFonts w:ascii="Times New Roman" w:hAnsi="Times New Roman"/>
      <w:sz w:val="24"/>
      <w:szCs w:val="24"/>
      <w:lang w:val="en-US"/>
    </w:rPr>
  </w:style>
  <w:style w:type="paragraph" w:styleId="Piedepgina">
    <w:name w:val="footer"/>
    <w:basedOn w:val="Normal"/>
    <w:link w:val="PiedepginaCar"/>
    <w:uiPriority w:val="99"/>
    <w:unhideWhenUsed/>
    <w:rsid w:val="006217AC"/>
    <w:pPr>
      <w:tabs>
        <w:tab w:val="center" w:pos="4419"/>
        <w:tab w:val="right" w:pos="8838"/>
      </w:tabs>
      <w:spacing w:after="0"/>
    </w:pPr>
  </w:style>
  <w:style w:type="character" w:customStyle="1" w:styleId="PiedepginaCar">
    <w:name w:val="Pie de página Car"/>
    <w:basedOn w:val="Fuentedeprrafopredeter"/>
    <w:link w:val="Piedepgina"/>
    <w:uiPriority w:val="99"/>
    <w:rsid w:val="006217AC"/>
    <w:rPr>
      <w:rFonts w:ascii="Times New Roman" w:hAnsi="Times New Roman"/>
      <w:sz w:val="24"/>
      <w:szCs w:val="24"/>
      <w:lang w:val="en-US"/>
    </w:rPr>
  </w:style>
  <w:style w:type="paragraph" w:styleId="Revisin">
    <w:name w:val="Revision"/>
    <w:hidden/>
    <w:uiPriority w:val="99"/>
    <w:semiHidden/>
    <w:rsid w:val="00F56DCB"/>
    <w:pPr>
      <w:spacing w:after="0" w:line="240" w:lineRule="auto"/>
    </w:pPr>
    <w:rPr>
      <w:rFonts w:ascii="Times New Roman" w:hAnsi="Times New Roman"/>
      <w:sz w:val="24"/>
      <w:szCs w:val="24"/>
      <w:lang w:val="en-US"/>
    </w:rPr>
  </w:style>
  <w:style w:type="character" w:customStyle="1" w:styleId="il">
    <w:name w:val="il"/>
    <w:basedOn w:val="Fuentedeprrafopredeter"/>
    <w:rsid w:val="00B82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9467C"/>
    <w:pPr>
      <w:spacing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467C"/>
    <w:rPr>
      <w:color w:val="0000FF" w:themeColor="hyperlink"/>
      <w:u w:val="single"/>
    </w:rPr>
  </w:style>
  <w:style w:type="paragraph" w:styleId="Textonotapie">
    <w:name w:val="footnote text"/>
    <w:aliases w:val="texto de nota al pie,Nota a pie/Bibliog,Texto nota pie Car1,Texto nota pie Car Car, Car1 Car Car, Car1 Car2, Car1,ft Car Car,ft Car,ft,Texto nota pie Car11,Texto nota pie Car Car1, Car1 Car Car1, Car1 Car21, Car11 Car Car, Car11 Car,Car1"/>
    <w:basedOn w:val="Normal"/>
    <w:link w:val="TextonotapieCar"/>
    <w:uiPriority w:val="99"/>
    <w:unhideWhenUsed/>
    <w:rsid w:val="00DC1042"/>
    <w:pPr>
      <w:spacing w:after="0"/>
    </w:pPr>
    <w:rPr>
      <w:rFonts w:asciiTheme="minorHAnsi" w:hAnsiTheme="minorHAnsi"/>
      <w:sz w:val="20"/>
      <w:szCs w:val="20"/>
      <w:lang w:val="es-CO"/>
    </w:rPr>
  </w:style>
  <w:style w:type="character" w:customStyle="1" w:styleId="TextonotapieCar">
    <w:name w:val="Texto nota pie Car"/>
    <w:aliases w:val="texto de nota al pie Car,Nota a pie/Bibliog Car,Texto nota pie Car1 Car,Texto nota pie Car Car Car, Car1 Car Car Car, Car1 Car2 Car, Car1 Car,ft Car Car Car,ft Car Car1,ft Car1,Texto nota pie Car11 Car,Texto nota pie Car Car1 Car"/>
    <w:basedOn w:val="Fuentedeprrafopredeter"/>
    <w:link w:val="Textonotapie"/>
    <w:uiPriority w:val="99"/>
    <w:rsid w:val="00DC1042"/>
    <w:rPr>
      <w:sz w:val="20"/>
      <w:szCs w:val="20"/>
    </w:rPr>
  </w:style>
  <w:style w:type="character" w:styleId="Refdenotaalpie">
    <w:name w:val="footnote reference"/>
    <w:basedOn w:val="Fuentedeprrafopredeter"/>
    <w:uiPriority w:val="99"/>
    <w:unhideWhenUsed/>
    <w:rsid w:val="00DC1042"/>
    <w:rPr>
      <w:vertAlign w:val="superscript"/>
    </w:rPr>
  </w:style>
  <w:style w:type="paragraph" w:styleId="Textodeglobo">
    <w:name w:val="Balloon Text"/>
    <w:basedOn w:val="Normal"/>
    <w:link w:val="TextodegloboCar"/>
    <w:uiPriority w:val="99"/>
    <w:semiHidden/>
    <w:unhideWhenUsed/>
    <w:rsid w:val="0058273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738"/>
    <w:rPr>
      <w:rFonts w:ascii="Tahoma" w:hAnsi="Tahoma" w:cs="Tahoma"/>
      <w:sz w:val="16"/>
      <w:szCs w:val="16"/>
      <w:lang w:val="en-US"/>
    </w:rPr>
  </w:style>
  <w:style w:type="character" w:customStyle="1" w:styleId="apple-converted-space">
    <w:name w:val="apple-converted-space"/>
    <w:basedOn w:val="Fuentedeprrafopredeter"/>
    <w:rsid w:val="00830DF6"/>
  </w:style>
  <w:style w:type="paragraph" w:styleId="NormalWeb">
    <w:name w:val="Normal (Web)"/>
    <w:basedOn w:val="Normal"/>
    <w:uiPriority w:val="99"/>
    <w:unhideWhenUsed/>
    <w:rsid w:val="00CB540C"/>
    <w:pPr>
      <w:spacing w:before="100" w:beforeAutospacing="1" w:after="100" w:afterAutospacing="1"/>
    </w:pPr>
    <w:rPr>
      <w:rFonts w:eastAsia="Times New Roman" w:cs="Times New Roman"/>
      <w:lang w:val="es-CO" w:eastAsia="es-CO"/>
    </w:rPr>
  </w:style>
  <w:style w:type="character" w:styleId="Refdecomentario">
    <w:name w:val="annotation reference"/>
    <w:basedOn w:val="Fuentedeprrafopredeter"/>
    <w:uiPriority w:val="99"/>
    <w:semiHidden/>
    <w:unhideWhenUsed/>
    <w:rsid w:val="00105DB7"/>
    <w:rPr>
      <w:sz w:val="16"/>
      <w:szCs w:val="16"/>
    </w:rPr>
  </w:style>
  <w:style w:type="paragraph" w:styleId="Textocomentario">
    <w:name w:val="annotation text"/>
    <w:basedOn w:val="Normal"/>
    <w:link w:val="TextocomentarioCar"/>
    <w:uiPriority w:val="99"/>
    <w:semiHidden/>
    <w:unhideWhenUsed/>
    <w:rsid w:val="00105DB7"/>
    <w:rPr>
      <w:sz w:val="20"/>
      <w:szCs w:val="20"/>
    </w:rPr>
  </w:style>
  <w:style w:type="character" w:customStyle="1" w:styleId="TextocomentarioCar">
    <w:name w:val="Texto comentario Car"/>
    <w:basedOn w:val="Fuentedeprrafopredeter"/>
    <w:link w:val="Textocomentario"/>
    <w:uiPriority w:val="99"/>
    <w:semiHidden/>
    <w:rsid w:val="00105DB7"/>
    <w:rPr>
      <w:rFonts w:ascii="Times New Roman" w:hAnsi="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05DB7"/>
    <w:rPr>
      <w:b/>
      <w:bCs/>
    </w:rPr>
  </w:style>
  <w:style w:type="character" w:customStyle="1" w:styleId="AsuntodelcomentarioCar">
    <w:name w:val="Asunto del comentario Car"/>
    <w:basedOn w:val="TextocomentarioCar"/>
    <w:link w:val="Asuntodelcomentario"/>
    <w:uiPriority w:val="99"/>
    <w:semiHidden/>
    <w:rsid w:val="00105DB7"/>
    <w:rPr>
      <w:rFonts w:ascii="Times New Roman" w:hAnsi="Times New Roman"/>
      <w:b/>
      <w:bCs/>
      <w:sz w:val="20"/>
      <w:szCs w:val="20"/>
      <w:lang w:val="en-US"/>
    </w:rPr>
  </w:style>
  <w:style w:type="paragraph" w:styleId="Prrafodelista">
    <w:name w:val="List Paragraph"/>
    <w:basedOn w:val="Normal"/>
    <w:uiPriority w:val="34"/>
    <w:qFormat/>
    <w:rsid w:val="00144382"/>
    <w:pPr>
      <w:ind w:left="720"/>
      <w:contextualSpacing/>
    </w:pPr>
  </w:style>
  <w:style w:type="table" w:styleId="Tablaconcuadrcula">
    <w:name w:val="Table Grid"/>
    <w:basedOn w:val="Tablanormal"/>
    <w:uiPriority w:val="59"/>
    <w:rsid w:val="00FC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8B35A7"/>
    <w:rPr>
      <w:i/>
    </w:rPr>
  </w:style>
  <w:style w:type="paragraph" w:styleId="Bibliografa">
    <w:name w:val="Bibliography"/>
    <w:basedOn w:val="Normal"/>
    <w:next w:val="Normal"/>
    <w:uiPriority w:val="99"/>
    <w:rsid w:val="007521C2"/>
    <w:pPr>
      <w:spacing w:line="276" w:lineRule="auto"/>
    </w:pPr>
    <w:rPr>
      <w:rFonts w:ascii="Calibri" w:eastAsia="Calibri" w:hAnsi="Calibri" w:cs="Times New Roman"/>
      <w:sz w:val="22"/>
      <w:szCs w:val="22"/>
      <w:lang w:val="es-CO"/>
    </w:rPr>
  </w:style>
  <w:style w:type="paragraph" w:styleId="Encabezado">
    <w:name w:val="header"/>
    <w:basedOn w:val="Normal"/>
    <w:link w:val="EncabezadoCar"/>
    <w:uiPriority w:val="99"/>
    <w:unhideWhenUsed/>
    <w:rsid w:val="006217AC"/>
    <w:pPr>
      <w:tabs>
        <w:tab w:val="center" w:pos="4419"/>
        <w:tab w:val="right" w:pos="8838"/>
      </w:tabs>
      <w:spacing w:after="0"/>
    </w:pPr>
  </w:style>
  <w:style w:type="character" w:customStyle="1" w:styleId="EncabezadoCar">
    <w:name w:val="Encabezado Car"/>
    <w:basedOn w:val="Fuentedeprrafopredeter"/>
    <w:link w:val="Encabezado"/>
    <w:uiPriority w:val="99"/>
    <w:rsid w:val="006217AC"/>
    <w:rPr>
      <w:rFonts w:ascii="Times New Roman" w:hAnsi="Times New Roman"/>
      <w:sz w:val="24"/>
      <w:szCs w:val="24"/>
      <w:lang w:val="en-US"/>
    </w:rPr>
  </w:style>
  <w:style w:type="paragraph" w:styleId="Piedepgina">
    <w:name w:val="footer"/>
    <w:basedOn w:val="Normal"/>
    <w:link w:val="PiedepginaCar"/>
    <w:uiPriority w:val="99"/>
    <w:unhideWhenUsed/>
    <w:rsid w:val="006217AC"/>
    <w:pPr>
      <w:tabs>
        <w:tab w:val="center" w:pos="4419"/>
        <w:tab w:val="right" w:pos="8838"/>
      </w:tabs>
      <w:spacing w:after="0"/>
    </w:pPr>
  </w:style>
  <w:style w:type="character" w:customStyle="1" w:styleId="PiedepginaCar">
    <w:name w:val="Pie de página Car"/>
    <w:basedOn w:val="Fuentedeprrafopredeter"/>
    <w:link w:val="Piedepgina"/>
    <w:uiPriority w:val="99"/>
    <w:rsid w:val="006217AC"/>
    <w:rPr>
      <w:rFonts w:ascii="Times New Roman" w:hAnsi="Times New Roman"/>
      <w:sz w:val="24"/>
      <w:szCs w:val="24"/>
      <w:lang w:val="en-US"/>
    </w:rPr>
  </w:style>
  <w:style w:type="paragraph" w:styleId="Revisin">
    <w:name w:val="Revision"/>
    <w:hidden/>
    <w:uiPriority w:val="99"/>
    <w:semiHidden/>
    <w:rsid w:val="00F56DCB"/>
    <w:pPr>
      <w:spacing w:after="0" w:line="240" w:lineRule="auto"/>
    </w:pPr>
    <w:rPr>
      <w:rFonts w:ascii="Times New Roman" w:hAnsi="Times New Roman"/>
      <w:sz w:val="24"/>
      <w:szCs w:val="24"/>
      <w:lang w:val="en-US"/>
    </w:rPr>
  </w:style>
  <w:style w:type="character" w:customStyle="1" w:styleId="il">
    <w:name w:val="il"/>
    <w:basedOn w:val="Fuentedeprrafopredeter"/>
    <w:rsid w:val="00B8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276">
      <w:bodyDiv w:val="1"/>
      <w:marLeft w:val="0"/>
      <w:marRight w:val="0"/>
      <w:marTop w:val="0"/>
      <w:marBottom w:val="0"/>
      <w:divBdr>
        <w:top w:val="none" w:sz="0" w:space="0" w:color="auto"/>
        <w:left w:val="none" w:sz="0" w:space="0" w:color="auto"/>
        <w:bottom w:val="none" w:sz="0" w:space="0" w:color="auto"/>
        <w:right w:val="none" w:sz="0" w:space="0" w:color="auto"/>
      </w:divBdr>
    </w:div>
    <w:div w:id="65349214">
      <w:bodyDiv w:val="1"/>
      <w:marLeft w:val="0"/>
      <w:marRight w:val="0"/>
      <w:marTop w:val="0"/>
      <w:marBottom w:val="0"/>
      <w:divBdr>
        <w:top w:val="none" w:sz="0" w:space="0" w:color="auto"/>
        <w:left w:val="none" w:sz="0" w:space="0" w:color="auto"/>
        <w:bottom w:val="none" w:sz="0" w:space="0" w:color="auto"/>
        <w:right w:val="none" w:sz="0" w:space="0" w:color="auto"/>
      </w:divBdr>
    </w:div>
    <w:div w:id="1439254053">
      <w:bodyDiv w:val="1"/>
      <w:marLeft w:val="0"/>
      <w:marRight w:val="0"/>
      <w:marTop w:val="0"/>
      <w:marBottom w:val="0"/>
      <w:divBdr>
        <w:top w:val="none" w:sz="0" w:space="0" w:color="auto"/>
        <w:left w:val="none" w:sz="0" w:space="0" w:color="auto"/>
        <w:bottom w:val="none" w:sz="0" w:space="0" w:color="auto"/>
        <w:right w:val="none" w:sz="0" w:space="0" w:color="auto"/>
      </w:divBdr>
    </w:div>
    <w:div w:id="17312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unglobalcompact.org"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diezg@gmail.com" TargetMode="Externa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www.elcolombiano.com/medellin-innovadora.as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8A7064-FFCF-49C1-A814-7041747BB16C}" type="doc">
      <dgm:prSet loTypeId="urn:microsoft.com/office/officeart/2009/layout/CircleArrowProcess" loCatId="cycle" qsTypeId="urn:microsoft.com/office/officeart/2005/8/quickstyle/simple1" qsCatId="simple" csTypeId="urn:microsoft.com/office/officeart/2005/8/colors/accent1_2" csCatId="accent1" phldr="1"/>
      <dgm:spPr/>
      <dgm:t>
        <a:bodyPr/>
        <a:lstStyle/>
        <a:p>
          <a:endParaRPr lang="es-CO"/>
        </a:p>
      </dgm:t>
    </dgm:pt>
    <dgm:pt modelId="{63D7E7E7-3A49-44F3-94D1-4058CD4896A4}">
      <dgm:prSet phldrT="[Texto]"/>
      <dgm:spPr/>
      <dgm:t>
        <a:bodyPr/>
        <a:lstStyle/>
        <a:p>
          <a:r>
            <a:rPr lang="es-CO"/>
            <a:t>Prescripción</a:t>
          </a:r>
        </a:p>
        <a:p>
          <a:r>
            <a:rPr lang="es-CO"/>
            <a:t>inicial</a:t>
          </a:r>
        </a:p>
      </dgm:t>
    </dgm:pt>
    <dgm:pt modelId="{A3BAEB2E-DAAC-4098-97EB-10A3AC11A5C9}" type="parTrans" cxnId="{ACAB1516-31D6-45D7-A46D-3F59D919ED81}">
      <dgm:prSet/>
      <dgm:spPr/>
      <dgm:t>
        <a:bodyPr/>
        <a:lstStyle/>
        <a:p>
          <a:endParaRPr lang="es-CO"/>
        </a:p>
      </dgm:t>
    </dgm:pt>
    <dgm:pt modelId="{BDFE29B0-2D0F-49C1-9C18-FCFE5C6773CE}" type="sibTrans" cxnId="{ACAB1516-31D6-45D7-A46D-3F59D919ED81}">
      <dgm:prSet/>
      <dgm:spPr/>
      <dgm:t>
        <a:bodyPr/>
        <a:lstStyle/>
        <a:p>
          <a:endParaRPr lang="es-CO"/>
        </a:p>
      </dgm:t>
    </dgm:pt>
    <dgm:pt modelId="{D15953A7-1D3F-4622-B42C-4C449EE6DBEF}">
      <dgm:prSet phldrT="[Texto]"/>
      <dgm:spPr/>
      <dgm:t>
        <a:bodyPr/>
        <a:lstStyle/>
        <a:p>
          <a:r>
            <a:rPr lang="es-CO"/>
            <a:t>Descripción</a:t>
          </a:r>
        </a:p>
      </dgm:t>
    </dgm:pt>
    <dgm:pt modelId="{F00BAD24-5635-4767-BF44-1B040A7D44B8}" type="parTrans" cxnId="{0859F733-C4F3-4258-9F84-8F96BAB6F2E7}">
      <dgm:prSet/>
      <dgm:spPr/>
      <dgm:t>
        <a:bodyPr/>
        <a:lstStyle/>
        <a:p>
          <a:endParaRPr lang="es-CO"/>
        </a:p>
      </dgm:t>
    </dgm:pt>
    <dgm:pt modelId="{80BC618A-CDEF-4AD7-A8C8-D4BA92EF409A}" type="sibTrans" cxnId="{0859F733-C4F3-4258-9F84-8F96BAB6F2E7}">
      <dgm:prSet/>
      <dgm:spPr/>
      <dgm:t>
        <a:bodyPr/>
        <a:lstStyle/>
        <a:p>
          <a:endParaRPr lang="es-CO"/>
        </a:p>
      </dgm:t>
    </dgm:pt>
    <dgm:pt modelId="{24568F9F-3871-4F29-9F5C-E905568C27FE}">
      <dgm:prSet phldrT="[Texto]"/>
      <dgm:spPr/>
      <dgm:t>
        <a:bodyPr/>
        <a:lstStyle/>
        <a:p>
          <a:r>
            <a:rPr lang="es-CO"/>
            <a:t>Prescripción</a:t>
          </a:r>
        </a:p>
        <a:p>
          <a:r>
            <a:rPr lang="es-CO"/>
            <a:t>final</a:t>
          </a:r>
        </a:p>
      </dgm:t>
    </dgm:pt>
    <dgm:pt modelId="{B7B2B085-336E-4736-B5E2-CC11428D143D}" type="parTrans" cxnId="{D775A6D0-08A7-4170-8CAF-AFAE9DBE668A}">
      <dgm:prSet/>
      <dgm:spPr/>
      <dgm:t>
        <a:bodyPr/>
        <a:lstStyle/>
        <a:p>
          <a:endParaRPr lang="es-CO"/>
        </a:p>
      </dgm:t>
    </dgm:pt>
    <dgm:pt modelId="{B907C598-38F2-4D1D-BF35-16E7A1F4C101}" type="sibTrans" cxnId="{D775A6D0-08A7-4170-8CAF-AFAE9DBE668A}">
      <dgm:prSet/>
      <dgm:spPr/>
      <dgm:t>
        <a:bodyPr/>
        <a:lstStyle/>
        <a:p>
          <a:endParaRPr lang="es-CO"/>
        </a:p>
      </dgm:t>
    </dgm:pt>
    <dgm:pt modelId="{217DA4B2-34CD-4A2B-B99A-21F925085F9A}" type="pres">
      <dgm:prSet presAssocID="{CF8A7064-FFCF-49C1-A814-7041747BB16C}" presName="Name0" presStyleCnt="0">
        <dgm:presLayoutVars>
          <dgm:chMax val="7"/>
          <dgm:chPref val="7"/>
          <dgm:dir/>
          <dgm:animLvl val="lvl"/>
        </dgm:presLayoutVars>
      </dgm:prSet>
      <dgm:spPr/>
      <dgm:t>
        <a:bodyPr/>
        <a:lstStyle/>
        <a:p>
          <a:endParaRPr lang="es-CO"/>
        </a:p>
      </dgm:t>
    </dgm:pt>
    <dgm:pt modelId="{23C0C69B-CAFD-461F-86DC-D99A21C6BB68}" type="pres">
      <dgm:prSet presAssocID="{63D7E7E7-3A49-44F3-94D1-4058CD4896A4}" presName="Accent1" presStyleCnt="0"/>
      <dgm:spPr/>
    </dgm:pt>
    <dgm:pt modelId="{977CC0F3-1EE9-4FE9-92D5-B7ABC10DFB6B}" type="pres">
      <dgm:prSet presAssocID="{63D7E7E7-3A49-44F3-94D1-4058CD4896A4}" presName="Accent" presStyleLbl="node1" presStyleIdx="0" presStyleCnt="3"/>
      <dgm:spPr/>
    </dgm:pt>
    <dgm:pt modelId="{4931E623-A766-459A-AD25-34FD6C7E7BBC}" type="pres">
      <dgm:prSet presAssocID="{63D7E7E7-3A49-44F3-94D1-4058CD4896A4}" presName="Parent1" presStyleLbl="revTx" presStyleIdx="0" presStyleCnt="3">
        <dgm:presLayoutVars>
          <dgm:chMax val="1"/>
          <dgm:chPref val="1"/>
          <dgm:bulletEnabled val="1"/>
        </dgm:presLayoutVars>
      </dgm:prSet>
      <dgm:spPr/>
      <dgm:t>
        <a:bodyPr/>
        <a:lstStyle/>
        <a:p>
          <a:endParaRPr lang="es-CO"/>
        </a:p>
      </dgm:t>
    </dgm:pt>
    <dgm:pt modelId="{61B7B6FF-ECBE-4730-AB78-784EA0EE7482}" type="pres">
      <dgm:prSet presAssocID="{D15953A7-1D3F-4622-B42C-4C449EE6DBEF}" presName="Accent2" presStyleCnt="0"/>
      <dgm:spPr/>
    </dgm:pt>
    <dgm:pt modelId="{8ED69E08-6BF6-497D-A84E-15FFF434B21E}" type="pres">
      <dgm:prSet presAssocID="{D15953A7-1D3F-4622-B42C-4C449EE6DBEF}" presName="Accent" presStyleLbl="node1" presStyleIdx="1" presStyleCnt="3"/>
      <dgm:spPr/>
    </dgm:pt>
    <dgm:pt modelId="{74D3FED7-F74A-42DC-BF43-191307BAAE98}" type="pres">
      <dgm:prSet presAssocID="{D15953A7-1D3F-4622-B42C-4C449EE6DBEF}" presName="Parent2" presStyleLbl="revTx" presStyleIdx="1" presStyleCnt="3">
        <dgm:presLayoutVars>
          <dgm:chMax val="1"/>
          <dgm:chPref val="1"/>
          <dgm:bulletEnabled val="1"/>
        </dgm:presLayoutVars>
      </dgm:prSet>
      <dgm:spPr/>
      <dgm:t>
        <a:bodyPr/>
        <a:lstStyle/>
        <a:p>
          <a:endParaRPr lang="es-CO"/>
        </a:p>
      </dgm:t>
    </dgm:pt>
    <dgm:pt modelId="{0EEA40B1-C327-462F-BF35-8257E66AAC74}" type="pres">
      <dgm:prSet presAssocID="{24568F9F-3871-4F29-9F5C-E905568C27FE}" presName="Accent3" presStyleCnt="0"/>
      <dgm:spPr/>
    </dgm:pt>
    <dgm:pt modelId="{CB554C8E-3219-43DF-ACDB-BE6DC8A21C12}" type="pres">
      <dgm:prSet presAssocID="{24568F9F-3871-4F29-9F5C-E905568C27FE}" presName="Accent" presStyleLbl="node1" presStyleIdx="2" presStyleCnt="3"/>
      <dgm:spPr/>
    </dgm:pt>
    <dgm:pt modelId="{862B9614-E8BA-483D-9579-A120FAE5F05A}" type="pres">
      <dgm:prSet presAssocID="{24568F9F-3871-4F29-9F5C-E905568C27FE}" presName="Parent3" presStyleLbl="revTx" presStyleIdx="2" presStyleCnt="3">
        <dgm:presLayoutVars>
          <dgm:chMax val="1"/>
          <dgm:chPref val="1"/>
          <dgm:bulletEnabled val="1"/>
        </dgm:presLayoutVars>
      </dgm:prSet>
      <dgm:spPr/>
      <dgm:t>
        <a:bodyPr/>
        <a:lstStyle/>
        <a:p>
          <a:endParaRPr lang="es-CO"/>
        </a:p>
      </dgm:t>
    </dgm:pt>
  </dgm:ptLst>
  <dgm:cxnLst>
    <dgm:cxn modelId="{ACAB1516-31D6-45D7-A46D-3F59D919ED81}" srcId="{CF8A7064-FFCF-49C1-A814-7041747BB16C}" destId="{63D7E7E7-3A49-44F3-94D1-4058CD4896A4}" srcOrd="0" destOrd="0" parTransId="{A3BAEB2E-DAAC-4098-97EB-10A3AC11A5C9}" sibTransId="{BDFE29B0-2D0F-49C1-9C18-FCFE5C6773CE}"/>
    <dgm:cxn modelId="{2CD9B060-8E79-4037-B80D-F9B19F97C8DA}" type="presOf" srcId="{D15953A7-1D3F-4622-B42C-4C449EE6DBEF}" destId="{74D3FED7-F74A-42DC-BF43-191307BAAE98}" srcOrd="0" destOrd="0" presId="urn:microsoft.com/office/officeart/2009/layout/CircleArrowProcess"/>
    <dgm:cxn modelId="{0859F733-C4F3-4258-9F84-8F96BAB6F2E7}" srcId="{CF8A7064-FFCF-49C1-A814-7041747BB16C}" destId="{D15953A7-1D3F-4622-B42C-4C449EE6DBEF}" srcOrd="1" destOrd="0" parTransId="{F00BAD24-5635-4767-BF44-1B040A7D44B8}" sibTransId="{80BC618A-CDEF-4AD7-A8C8-D4BA92EF409A}"/>
    <dgm:cxn modelId="{C6A84281-FF9D-44C6-ABD2-15CEB3F97D25}" type="presOf" srcId="{63D7E7E7-3A49-44F3-94D1-4058CD4896A4}" destId="{4931E623-A766-459A-AD25-34FD6C7E7BBC}" srcOrd="0" destOrd="0" presId="urn:microsoft.com/office/officeart/2009/layout/CircleArrowProcess"/>
    <dgm:cxn modelId="{D775A6D0-08A7-4170-8CAF-AFAE9DBE668A}" srcId="{CF8A7064-FFCF-49C1-A814-7041747BB16C}" destId="{24568F9F-3871-4F29-9F5C-E905568C27FE}" srcOrd="2" destOrd="0" parTransId="{B7B2B085-336E-4736-B5E2-CC11428D143D}" sibTransId="{B907C598-38F2-4D1D-BF35-16E7A1F4C101}"/>
    <dgm:cxn modelId="{713385C4-8756-4284-BA7C-A754E61BA111}" type="presOf" srcId="{CF8A7064-FFCF-49C1-A814-7041747BB16C}" destId="{217DA4B2-34CD-4A2B-B99A-21F925085F9A}" srcOrd="0" destOrd="0" presId="urn:microsoft.com/office/officeart/2009/layout/CircleArrowProcess"/>
    <dgm:cxn modelId="{84BE5D21-D3B1-4FBF-8713-844955A771CE}" type="presOf" srcId="{24568F9F-3871-4F29-9F5C-E905568C27FE}" destId="{862B9614-E8BA-483D-9579-A120FAE5F05A}" srcOrd="0" destOrd="0" presId="urn:microsoft.com/office/officeart/2009/layout/CircleArrowProcess"/>
    <dgm:cxn modelId="{A4528B3C-3533-4D90-830E-49444FDF1573}" type="presParOf" srcId="{217DA4B2-34CD-4A2B-B99A-21F925085F9A}" destId="{23C0C69B-CAFD-461F-86DC-D99A21C6BB68}" srcOrd="0" destOrd="0" presId="urn:microsoft.com/office/officeart/2009/layout/CircleArrowProcess"/>
    <dgm:cxn modelId="{25DD012E-8B64-45D9-86B3-BF6800B16F0C}" type="presParOf" srcId="{23C0C69B-CAFD-461F-86DC-D99A21C6BB68}" destId="{977CC0F3-1EE9-4FE9-92D5-B7ABC10DFB6B}" srcOrd="0" destOrd="0" presId="urn:microsoft.com/office/officeart/2009/layout/CircleArrowProcess"/>
    <dgm:cxn modelId="{C7E9980B-797E-4116-B382-1C81114496D5}" type="presParOf" srcId="{217DA4B2-34CD-4A2B-B99A-21F925085F9A}" destId="{4931E623-A766-459A-AD25-34FD6C7E7BBC}" srcOrd="1" destOrd="0" presId="urn:microsoft.com/office/officeart/2009/layout/CircleArrowProcess"/>
    <dgm:cxn modelId="{7C478F4C-7CC4-4929-BDFA-D30D94043176}" type="presParOf" srcId="{217DA4B2-34CD-4A2B-B99A-21F925085F9A}" destId="{61B7B6FF-ECBE-4730-AB78-784EA0EE7482}" srcOrd="2" destOrd="0" presId="urn:microsoft.com/office/officeart/2009/layout/CircleArrowProcess"/>
    <dgm:cxn modelId="{6C450758-36F2-49C7-B098-7483AA08AD87}" type="presParOf" srcId="{61B7B6FF-ECBE-4730-AB78-784EA0EE7482}" destId="{8ED69E08-6BF6-497D-A84E-15FFF434B21E}" srcOrd="0" destOrd="0" presId="urn:microsoft.com/office/officeart/2009/layout/CircleArrowProcess"/>
    <dgm:cxn modelId="{80C7C42C-721A-4723-A9C9-55FB69C383ED}" type="presParOf" srcId="{217DA4B2-34CD-4A2B-B99A-21F925085F9A}" destId="{74D3FED7-F74A-42DC-BF43-191307BAAE98}" srcOrd="3" destOrd="0" presId="urn:microsoft.com/office/officeart/2009/layout/CircleArrowProcess"/>
    <dgm:cxn modelId="{9A96901B-8BE9-426F-9A31-6DED45228D3A}" type="presParOf" srcId="{217DA4B2-34CD-4A2B-B99A-21F925085F9A}" destId="{0EEA40B1-C327-462F-BF35-8257E66AAC74}" srcOrd="4" destOrd="0" presId="urn:microsoft.com/office/officeart/2009/layout/CircleArrowProcess"/>
    <dgm:cxn modelId="{8E35E006-F4FD-425B-8984-26EE3C1287AF}" type="presParOf" srcId="{0EEA40B1-C327-462F-BF35-8257E66AAC74}" destId="{CB554C8E-3219-43DF-ACDB-BE6DC8A21C12}" srcOrd="0" destOrd="0" presId="urn:microsoft.com/office/officeart/2009/layout/CircleArrowProcess"/>
    <dgm:cxn modelId="{93A4485A-DB99-4E05-AE10-1CBE5ADB8120}" type="presParOf" srcId="{217DA4B2-34CD-4A2B-B99A-21F925085F9A}" destId="{862B9614-E8BA-483D-9579-A120FAE5F05A}"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CC0F3-1EE9-4FE9-92D5-B7ABC10DFB6B}">
      <dsp:nvSpPr>
        <dsp:cNvPr id="0" name=""/>
        <dsp:cNvSpPr/>
      </dsp:nvSpPr>
      <dsp:spPr>
        <a:xfrm>
          <a:off x="737594" y="0"/>
          <a:ext cx="1214928" cy="1215113"/>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31E623-A766-459A-AD25-34FD6C7E7BBC}">
      <dsp:nvSpPr>
        <dsp:cNvPr id="0" name=""/>
        <dsp:cNvSpPr/>
      </dsp:nvSpPr>
      <dsp:spPr>
        <a:xfrm>
          <a:off x="1006133" y="438692"/>
          <a:ext cx="675112" cy="3374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Prescripción</a:t>
          </a:r>
        </a:p>
        <a:p>
          <a:pPr lvl="0" algn="ctr" defTabSz="400050">
            <a:lnSpc>
              <a:spcPct val="90000"/>
            </a:lnSpc>
            <a:spcBef>
              <a:spcPct val="0"/>
            </a:spcBef>
            <a:spcAft>
              <a:spcPct val="35000"/>
            </a:spcAft>
          </a:pPr>
          <a:r>
            <a:rPr lang="es-CO" sz="900" kern="1200"/>
            <a:t>inicial</a:t>
          </a:r>
        </a:p>
      </dsp:txBody>
      <dsp:txXfrm>
        <a:off x="1006133" y="438692"/>
        <a:ext cx="675112" cy="337475"/>
      </dsp:txXfrm>
    </dsp:sp>
    <dsp:sp modelId="{8ED69E08-6BF6-497D-A84E-15FFF434B21E}">
      <dsp:nvSpPr>
        <dsp:cNvPr id="0" name=""/>
        <dsp:cNvSpPr/>
      </dsp:nvSpPr>
      <dsp:spPr>
        <a:xfrm>
          <a:off x="400151" y="698172"/>
          <a:ext cx="1214928" cy="1215113"/>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D3FED7-F74A-42DC-BF43-191307BAAE98}">
      <dsp:nvSpPr>
        <dsp:cNvPr id="0" name=""/>
        <dsp:cNvSpPr/>
      </dsp:nvSpPr>
      <dsp:spPr>
        <a:xfrm>
          <a:off x="670060" y="1140904"/>
          <a:ext cx="675112" cy="3374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Descripción</a:t>
          </a:r>
        </a:p>
      </dsp:txBody>
      <dsp:txXfrm>
        <a:off x="670060" y="1140904"/>
        <a:ext cx="675112" cy="337475"/>
      </dsp:txXfrm>
    </dsp:sp>
    <dsp:sp modelId="{CB554C8E-3219-43DF-ACDB-BE6DC8A21C12}">
      <dsp:nvSpPr>
        <dsp:cNvPr id="0" name=""/>
        <dsp:cNvSpPr/>
      </dsp:nvSpPr>
      <dsp:spPr>
        <a:xfrm>
          <a:off x="824065" y="1479894"/>
          <a:ext cx="1043812" cy="1044230"/>
        </a:xfrm>
        <a:prstGeom prst="blockArc">
          <a:avLst>
            <a:gd name="adj1" fmla="val 13500000"/>
            <a:gd name="adj2" fmla="val 10800000"/>
            <a:gd name="adj3" fmla="val 127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2B9614-E8BA-483D-9579-A120FAE5F05A}">
      <dsp:nvSpPr>
        <dsp:cNvPr id="0" name=""/>
        <dsp:cNvSpPr/>
      </dsp:nvSpPr>
      <dsp:spPr>
        <a:xfrm>
          <a:off x="1007730" y="1844125"/>
          <a:ext cx="675112" cy="3374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Prescripción</a:t>
          </a:r>
        </a:p>
        <a:p>
          <a:pPr lvl="0" algn="ctr" defTabSz="400050">
            <a:lnSpc>
              <a:spcPct val="90000"/>
            </a:lnSpc>
            <a:spcBef>
              <a:spcPct val="0"/>
            </a:spcBef>
            <a:spcAft>
              <a:spcPct val="35000"/>
            </a:spcAft>
          </a:pPr>
          <a:r>
            <a:rPr lang="es-CO" sz="900" kern="1200"/>
            <a:t>final</a:t>
          </a:r>
        </a:p>
      </dsp:txBody>
      <dsp:txXfrm>
        <a:off x="1007730" y="1844125"/>
        <a:ext cx="675112" cy="337475"/>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12DD-FCE2-4A2A-8DED-C5B5F898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5885</Words>
  <Characters>32368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usuario</cp:lastModifiedBy>
  <cp:revision>2</cp:revision>
  <dcterms:created xsi:type="dcterms:W3CDTF">2013-09-04T21:38:00Z</dcterms:created>
  <dcterms:modified xsi:type="dcterms:W3CDTF">2013-09-04T21:38:00Z</dcterms:modified>
</cp:coreProperties>
</file>