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E7ED2" w14:textId="5AAD618E" w:rsidR="008F00E6" w:rsidRPr="007E011B" w:rsidRDefault="00D520A3" w:rsidP="00D762BF">
      <w:pPr>
        <w:pStyle w:val="Ttulo"/>
        <w:jc w:val="center"/>
      </w:pPr>
      <w:r w:rsidRPr="007E011B">
        <w:t>Determinants of the spread between yield to maturity of corporate and sovereign debt</w:t>
      </w:r>
      <w:r w:rsidR="00E248E2">
        <w:t xml:space="preserve"> in Emerging Markets</w:t>
      </w:r>
    </w:p>
    <w:p w14:paraId="7C542397" w14:textId="202E7CF1" w:rsidR="00D520A3" w:rsidRDefault="00FA1398" w:rsidP="00D762BF">
      <w:pPr>
        <w:jc w:val="center"/>
      </w:pPr>
      <w:r>
        <w:t>John Rosso</w:t>
      </w:r>
    </w:p>
    <w:p w14:paraId="70B9BA57" w14:textId="77777777" w:rsidR="00FA1398" w:rsidRPr="007E011B" w:rsidRDefault="00FA1398" w:rsidP="00D520A3"/>
    <w:p w14:paraId="3F026869" w14:textId="088CB32C" w:rsidR="008B10F5" w:rsidRPr="00D762BF" w:rsidRDefault="008B10F5" w:rsidP="006B14F9">
      <w:pPr>
        <w:jc w:val="center"/>
        <w:rPr>
          <w:b/>
          <w:sz w:val="28"/>
        </w:rPr>
      </w:pPr>
      <w:r w:rsidRPr="00D762BF">
        <w:rPr>
          <w:b/>
          <w:sz w:val="28"/>
        </w:rPr>
        <w:t>Abstract</w:t>
      </w:r>
    </w:p>
    <w:p w14:paraId="073A459F" w14:textId="77777777" w:rsidR="00D762BF" w:rsidRPr="007E011B" w:rsidRDefault="00D762BF" w:rsidP="00D762BF"/>
    <w:p w14:paraId="53FB6805" w14:textId="53DA0AB0" w:rsidR="006B14F9" w:rsidRPr="00670E02" w:rsidRDefault="006B14F9" w:rsidP="00DD6188">
      <w:pPr>
        <w:rPr>
          <w:sz w:val="20"/>
        </w:rPr>
      </w:pPr>
      <w:r w:rsidRPr="00670E02">
        <w:rPr>
          <w:sz w:val="20"/>
        </w:rPr>
        <w:t>The determinants of the spread between corporate and sovereign debt are</w:t>
      </w:r>
      <w:r w:rsidR="00D1310F" w:rsidRPr="00670E02">
        <w:rPr>
          <w:sz w:val="20"/>
        </w:rPr>
        <w:t xml:space="preserve"> a source of specific risk for a country. </w:t>
      </w:r>
      <w:r w:rsidR="00DC6429" w:rsidRPr="00670E02">
        <w:rPr>
          <w:sz w:val="20"/>
        </w:rPr>
        <w:t xml:space="preserve">We use the data of a number of bonds issued by companies in </w:t>
      </w:r>
      <w:r w:rsidR="00431345" w:rsidRPr="00670E02">
        <w:rPr>
          <w:sz w:val="20"/>
        </w:rPr>
        <w:t>21</w:t>
      </w:r>
      <w:r w:rsidR="00DC6429" w:rsidRPr="00670E02">
        <w:rPr>
          <w:sz w:val="20"/>
        </w:rPr>
        <w:t xml:space="preserve"> emerging markets in order to calculate the spread between their yield to maturity and the sovereign debt yield to maturity for each of these markets. By applying an econometric model we found </w:t>
      </w:r>
      <w:r w:rsidR="00D1310F" w:rsidRPr="00670E02">
        <w:rPr>
          <w:sz w:val="20"/>
        </w:rPr>
        <w:t xml:space="preserve">the determinants of such spread, controlling for the term structure of the debt. </w:t>
      </w:r>
      <w:r w:rsidRPr="00670E02">
        <w:rPr>
          <w:sz w:val="20"/>
        </w:rPr>
        <w:t xml:space="preserve">The </w:t>
      </w:r>
      <w:r w:rsidRPr="00562C71">
        <w:rPr>
          <w:sz w:val="20"/>
        </w:rPr>
        <w:t>contribution</w:t>
      </w:r>
      <w:r w:rsidRPr="00670E02">
        <w:rPr>
          <w:sz w:val="20"/>
        </w:rPr>
        <w:t xml:space="preserve"> of this paper is to </w:t>
      </w:r>
      <w:r w:rsidR="00562C71">
        <w:rPr>
          <w:sz w:val="20"/>
        </w:rPr>
        <w:t>point out the country and industry effects as determinants of</w:t>
      </w:r>
      <w:r w:rsidR="002A706E" w:rsidRPr="00670E02">
        <w:rPr>
          <w:sz w:val="20"/>
        </w:rPr>
        <w:t xml:space="preserve"> the spread, </w:t>
      </w:r>
      <w:r w:rsidRPr="00670E02">
        <w:rPr>
          <w:sz w:val="20"/>
        </w:rPr>
        <w:t>not included in previous literature.</w:t>
      </w:r>
    </w:p>
    <w:p w14:paraId="6ED26B18" w14:textId="77777777" w:rsidR="006B14F9" w:rsidRPr="00670E02" w:rsidRDefault="006B14F9" w:rsidP="00BC2355">
      <w:pPr>
        <w:rPr>
          <w:sz w:val="20"/>
        </w:rPr>
      </w:pPr>
    </w:p>
    <w:p w14:paraId="18C26173" w14:textId="30124E83" w:rsidR="008B10F5" w:rsidRPr="00670E02" w:rsidRDefault="008B10F5" w:rsidP="00BC2355">
      <w:pPr>
        <w:rPr>
          <w:sz w:val="20"/>
        </w:rPr>
      </w:pPr>
      <w:r w:rsidRPr="00670E02">
        <w:rPr>
          <w:sz w:val="20"/>
        </w:rPr>
        <w:t>Keywords</w:t>
      </w:r>
      <w:r w:rsidR="00FA1398" w:rsidRPr="00670E02">
        <w:rPr>
          <w:sz w:val="20"/>
        </w:rPr>
        <w:t>:</w:t>
      </w:r>
      <w:r w:rsidR="001D3272" w:rsidRPr="00670E02">
        <w:rPr>
          <w:sz w:val="20"/>
        </w:rPr>
        <w:t xml:space="preserve"> </w:t>
      </w:r>
      <w:r w:rsidR="006F0094" w:rsidRPr="00670E02">
        <w:rPr>
          <w:sz w:val="20"/>
        </w:rPr>
        <w:t>Financial Markets, Bond Interest Rates, R</w:t>
      </w:r>
      <w:r w:rsidR="001D3272" w:rsidRPr="00670E02">
        <w:rPr>
          <w:sz w:val="20"/>
        </w:rPr>
        <w:t xml:space="preserve">isk </w:t>
      </w:r>
      <w:r w:rsidR="006F0094" w:rsidRPr="00670E02">
        <w:rPr>
          <w:sz w:val="20"/>
        </w:rPr>
        <w:t>P</w:t>
      </w:r>
      <w:r w:rsidR="001D3272" w:rsidRPr="00670E02">
        <w:rPr>
          <w:sz w:val="20"/>
        </w:rPr>
        <w:t>remium</w:t>
      </w:r>
      <w:r w:rsidR="006F0094" w:rsidRPr="00670E02">
        <w:rPr>
          <w:sz w:val="20"/>
        </w:rPr>
        <w:t>, Economic Development: Financial Markets; Saving and Capital Investment; Corporate Finance and Governance</w:t>
      </w:r>
    </w:p>
    <w:p w14:paraId="7A65FD57" w14:textId="19468335" w:rsidR="00FA1398" w:rsidRPr="006E2169" w:rsidRDefault="00FA1398" w:rsidP="00BC2355">
      <w:pPr>
        <w:rPr>
          <w:sz w:val="20"/>
          <w:lang w:val="es-CO"/>
        </w:rPr>
      </w:pPr>
      <w:r w:rsidRPr="006E2169">
        <w:rPr>
          <w:sz w:val="20"/>
          <w:lang w:val="es-CO"/>
        </w:rPr>
        <w:t>JEL Codes:</w:t>
      </w:r>
      <w:r w:rsidR="001D3272" w:rsidRPr="006E2169">
        <w:rPr>
          <w:sz w:val="20"/>
          <w:lang w:val="es-CO"/>
        </w:rPr>
        <w:t xml:space="preserve"> </w:t>
      </w:r>
      <w:r w:rsidR="006F0094" w:rsidRPr="006E2169">
        <w:rPr>
          <w:sz w:val="20"/>
          <w:lang w:val="es-CO"/>
        </w:rPr>
        <w:t xml:space="preserve">E44, G12, </w:t>
      </w:r>
      <w:r w:rsidR="001D3272" w:rsidRPr="006E2169">
        <w:rPr>
          <w:sz w:val="20"/>
          <w:lang w:val="es-CO"/>
        </w:rPr>
        <w:t>G150,</w:t>
      </w:r>
      <w:r w:rsidR="006F0094" w:rsidRPr="006E2169">
        <w:rPr>
          <w:sz w:val="20"/>
          <w:lang w:val="es-CO"/>
        </w:rPr>
        <w:t xml:space="preserve"> O160</w:t>
      </w:r>
    </w:p>
    <w:p w14:paraId="742130AC" w14:textId="77777777" w:rsidR="008B10F5" w:rsidRPr="006E2169" w:rsidRDefault="008B10F5" w:rsidP="00BC2355">
      <w:pPr>
        <w:rPr>
          <w:lang w:val="es-CO"/>
        </w:rPr>
      </w:pPr>
    </w:p>
    <w:p w14:paraId="3545B089" w14:textId="7E2FA36C" w:rsidR="008B10F5" w:rsidRPr="007E011B" w:rsidRDefault="008B10F5" w:rsidP="008B10F5">
      <w:pPr>
        <w:pStyle w:val="Ttulo1"/>
        <w:rPr>
          <w:lang w:val="en-US"/>
        </w:rPr>
      </w:pPr>
      <w:r w:rsidRPr="007E011B">
        <w:rPr>
          <w:lang w:val="en-US"/>
        </w:rPr>
        <w:t>Introduction</w:t>
      </w:r>
    </w:p>
    <w:p w14:paraId="4D923CB4" w14:textId="77777777" w:rsidR="008B10F5" w:rsidRDefault="008B10F5" w:rsidP="00D520A3"/>
    <w:p w14:paraId="5FC3FD96" w14:textId="1DCEC18E" w:rsidR="006B14F9" w:rsidRDefault="00434843" w:rsidP="00D520A3">
      <w:r>
        <w:t>There are some several works on the determinants of the spread between the yield of the sovereign debt in a non-developed market, and the yield to maturity of the sovereign debt of a benchmark market (</w:t>
      </w:r>
      <w:r w:rsidR="003B4ABC">
        <w:t>mainly</w:t>
      </w:r>
      <w:r>
        <w:t xml:space="preserve"> USA). However, there are just few works on the determinants of the spread between </w:t>
      </w:r>
      <w:r w:rsidR="00404186">
        <w:t xml:space="preserve">the yield of the </w:t>
      </w:r>
      <w:r>
        <w:t>corporate debt again</w:t>
      </w:r>
      <w:r w:rsidR="00294507">
        <w:t>st the yield of sovereign debt</w:t>
      </w:r>
      <w:r w:rsidR="00B25666">
        <w:t>, particularly in Emerging Markets (EMs)</w:t>
      </w:r>
      <w:r w:rsidR="00294507">
        <w:t>.</w:t>
      </w:r>
    </w:p>
    <w:p w14:paraId="30BA661C" w14:textId="2FEDF2F9" w:rsidR="00E65831" w:rsidRDefault="00E65831" w:rsidP="00D520A3">
      <w:r w:rsidRPr="0064525C">
        <w:t xml:space="preserve">According to Peter &amp; </w:t>
      </w:r>
      <w:proofErr w:type="spellStart"/>
      <w:r w:rsidRPr="0064525C">
        <w:t>Grandes</w:t>
      </w:r>
      <w:proofErr w:type="spellEnd"/>
      <w:r w:rsidRPr="0064525C">
        <w:t xml:space="preserve"> </w:t>
      </w:r>
      <w:r>
        <w:fldChar w:fldCharType="begin"/>
      </w:r>
      <w:r w:rsidR="00DA7DDA">
        <w:instrText xml:space="preserve"> ADDIN ZOTERO_ITEM {"citationID":"kpfqva2m1","properties":{"formattedCitation":"(2005)","plainCitation":"(2005)"},"citationItems":[{"id":778,"uris":["http://zotero.org/users/338027/items/DNGQP4BB","http://zotero.org/users/338027/items/AVRGBW2A"],"uri":["http://zotero.org/users/338027/items/DNGQP4BB","http://zotero.org/users/338027/items/AVRGBW2A"],"suppress-author":true}]} </w:instrText>
      </w:r>
      <w:r>
        <w:fldChar w:fldCharType="separate"/>
      </w:r>
      <w:r>
        <w:rPr>
          <w:noProof/>
        </w:rPr>
        <w:t>(2005)</w:t>
      </w:r>
      <w:r>
        <w:fldChar w:fldCharType="end"/>
      </w:r>
      <w:r w:rsidRPr="0064525C">
        <w:t xml:space="preserve"> there are a vast number of empirical studies that assess the determinants of government yield spreads in EMs. Nevertheless, they completely ignore the relation between </w:t>
      </w:r>
      <w:r>
        <w:t xml:space="preserve">both, </w:t>
      </w:r>
      <w:r w:rsidRPr="0064525C">
        <w:t xml:space="preserve">sovereign and corporate default risks. Some earlier works </w:t>
      </w:r>
      <w:r>
        <w:fldChar w:fldCharType="begin"/>
      </w:r>
      <w:r w:rsidR="00DA7DDA">
        <w:instrText xml:space="preserve"> ADDIN ZOTERO_ITEM {"citationID":"5ybCKGcp","properties":{"unsorted":true,"formattedCitation":"{\\rtf (Peter &amp; Grandes, 2005; Brice\\uc0\\u241{}o &amp; Rivero, 2012)}","plainCitation":"(Peter &amp; Grandes, 2005; Briceño &amp; Rivero, 2012)"},"citationItems":[{"id":778,"uris":["http://zotero.org/users/338027/items/DNGQP4BB","http://zotero.org/users/338027/items/AVRGBW2A"],"uri":["http://zotero.org/users/338027/items/DNGQP4BB","http://zotero.org/users/338027/items/AVRGBW2A"],"label":"page"},{"id":31,"uris":["http://zotero.org/users/338027/items/46GX3ZCA"],"uri":["http://zotero.org/users/338027/items/46GX3ZCA"],"label":"page"}]} </w:instrText>
      </w:r>
      <w:r>
        <w:fldChar w:fldCharType="separate"/>
      </w:r>
      <w:r w:rsidRPr="000E2053">
        <w:rPr>
          <w:szCs w:val="24"/>
        </w:rPr>
        <w:t xml:space="preserve">(Peter &amp; </w:t>
      </w:r>
      <w:proofErr w:type="spellStart"/>
      <w:r w:rsidRPr="000E2053">
        <w:rPr>
          <w:szCs w:val="24"/>
        </w:rPr>
        <w:t>Grandes</w:t>
      </w:r>
      <w:proofErr w:type="spellEnd"/>
      <w:r w:rsidRPr="000E2053">
        <w:rPr>
          <w:szCs w:val="24"/>
        </w:rPr>
        <w:t>, 2005; Briceño &amp; Rivero, 2012)</w:t>
      </w:r>
      <w:r>
        <w:fldChar w:fldCharType="end"/>
      </w:r>
      <w:r w:rsidRPr="0064525C">
        <w:t xml:space="preserve"> have found that the most important </w:t>
      </w:r>
      <w:r w:rsidRPr="0064525C">
        <w:lastRenderedPageBreak/>
        <w:t>determinant of the risk of corporate default is sovereign risk. However they show that there are other determinants including firm specific factors.</w:t>
      </w:r>
    </w:p>
    <w:p w14:paraId="2F199E51" w14:textId="3FB9A3DF" w:rsidR="00294507" w:rsidRDefault="00294507" w:rsidP="00D520A3">
      <w:r>
        <w:t xml:space="preserve">We </w:t>
      </w:r>
      <w:r w:rsidR="00127C7B">
        <w:t>utilize</w:t>
      </w:r>
      <w:r>
        <w:t xml:space="preserve"> a dataset of corporate and sovereign bonds retrieved from Bloomberg in order to find the determinants of the spread between the formers and the latest, for the countries included in MSCI Emerging Markets Index. Our data on the spread </w:t>
      </w:r>
      <w:r w:rsidR="00127C7B">
        <w:t xml:space="preserve">exploit a resource not employed before in previous works and available in Bloomberg, called Yield Adjusted Spread –YAS. It </w:t>
      </w:r>
      <w:r w:rsidR="00E30C7E">
        <w:t>allows us to control</w:t>
      </w:r>
      <w:r>
        <w:t xml:space="preserve"> for</w:t>
      </w:r>
      <w:r w:rsidR="00127C7B">
        <w:t xml:space="preserve"> the term structure of the debt, avoiding missing </w:t>
      </w:r>
      <w:r w:rsidR="00E30C7E">
        <w:t>information</w:t>
      </w:r>
      <w:r w:rsidR="00127C7B">
        <w:t xml:space="preserve"> related with this </w:t>
      </w:r>
      <w:r w:rsidR="00E30C7E">
        <w:t>variable</w:t>
      </w:r>
      <w:r w:rsidR="00127C7B">
        <w:t>.</w:t>
      </w:r>
    </w:p>
    <w:p w14:paraId="0A252225" w14:textId="6745DC46" w:rsidR="000705EB" w:rsidRDefault="000705EB" w:rsidP="00D520A3">
      <w:r w:rsidRPr="009238AB">
        <w:t xml:space="preserve">We </w:t>
      </w:r>
      <w:r>
        <w:t xml:space="preserve">find </w:t>
      </w:r>
      <w:r w:rsidRPr="009238AB">
        <w:t xml:space="preserve">the determinants of </w:t>
      </w:r>
      <w:r>
        <w:t>the</w:t>
      </w:r>
      <w:r w:rsidRPr="009238AB">
        <w:t xml:space="preserve"> spread</w:t>
      </w:r>
      <w:r>
        <w:t xml:space="preserve"> between corporate and sovereign debt</w:t>
      </w:r>
      <w:r w:rsidRPr="009238AB">
        <w:t xml:space="preserve">, controlling for the term structure of the debt. </w:t>
      </w:r>
      <w:r w:rsidRPr="00562C71">
        <w:t xml:space="preserve">The main conclusion </w:t>
      </w:r>
      <w:r w:rsidR="00562C71" w:rsidRPr="00562C71">
        <w:t>is that there are persistent</w:t>
      </w:r>
      <w:r w:rsidRPr="00562C71">
        <w:t xml:space="preserve"> country and industry effects, not enough explained in current literature</w:t>
      </w:r>
      <w:r w:rsidR="00562C71">
        <w:t xml:space="preserve">. Then, it would be </w:t>
      </w:r>
      <w:r>
        <w:t xml:space="preserve">a newer approach to the country risk premium in debt instruments valuation. </w:t>
      </w:r>
    </w:p>
    <w:p w14:paraId="5B8C6CA7" w14:textId="18BBE6BB" w:rsidR="00294507" w:rsidRDefault="00294507" w:rsidP="00D520A3"/>
    <w:p w14:paraId="7CE44545" w14:textId="77777777" w:rsidR="006B14F9" w:rsidRPr="007E011B" w:rsidRDefault="006B14F9" w:rsidP="00D520A3"/>
    <w:p w14:paraId="42E647E0" w14:textId="77777777" w:rsidR="00D231E3" w:rsidRPr="007E011B" w:rsidRDefault="00D231E3" w:rsidP="008B10F5">
      <w:pPr>
        <w:pStyle w:val="Ttulo1"/>
        <w:rPr>
          <w:lang w:val="en-US"/>
        </w:rPr>
      </w:pPr>
      <w:r w:rsidRPr="007E011B">
        <w:rPr>
          <w:lang w:val="en-US"/>
        </w:rPr>
        <w:t>Literature review</w:t>
      </w:r>
    </w:p>
    <w:p w14:paraId="07B869FD" w14:textId="77777777" w:rsidR="00D520A3" w:rsidRPr="007E011B" w:rsidRDefault="00D520A3" w:rsidP="00D520A3"/>
    <w:p w14:paraId="33CFD71C" w14:textId="141DAE19" w:rsidR="004D3C38" w:rsidRDefault="004D3C38" w:rsidP="004D3C38">
      <w:pPr>
        <w:pStyle w:val="Ttulo2"/>
        <w:rPr>
          <w:lang w:val="en-US"/>
        </w:rPr>
      </w:pPr>
      <w:r w:rsidRPr="007E011B">
        <w:rPr>
          <w:lang w:val="en-US"/>
        </w:rPr>
        <w:t>Determinants of sovereign spread</w:t>
      </w:r>
    </w:p>
    <w:p w14:paraId="51ACB3CC" w14:textId="77777777" w:rsidR="002A706E" w:rsidRPr="002A706E" w:rsidRDefault="002A706E" w:rsidP="002A706E"/>
    <w:p w14:paraId="7D4E19A9" w14:textId="79543A4E" w:rsidR="004D3C38" w:rsidRDefault="005C482C" w:rsidP="008079B8">
      <w:r>
        <w:rPr>
          <w:noProof/>
        </w:rPr>
        <w:t>Baldacci, Gupta, &amp; Mati</w:t>
      </w:r>
      <w:r>
        <w:t xml:space="preserve"> </w:t>
      </w:r>
      <w:r>
        <w:fldChar w:fldCharType="begin"/>
      </w:r>
      <w:r w:rsidR="00DA7DDA">
        <w:instrText xml:space="preserve"> ADDIN ZOTERO_ITEM {"citationID":"vY4eoEmT","properties":{"formattedCitation":"(2008)","plainCitation":"(2008)"},"citationItems":[{"id":808,"uris":["http://zotero.org/users/338027/items/NTQS9CCV"],"uri":["http://zotero.org/users/338027/items/NTQS9CCV"],"suppress-author":true}]} </w:instrText>
      </w:r>
      <w:r>
        <w:fldChar w:fldCharType="separate"/>
      </w:r>
      <w:r>
        <w:rPr>
          <w:noProof/>
        </w:rPr>
        <w:t>(2008)</w:t>
      </w:r>
      <w:r>
        <w:fldChar w:fldCharType="end"/>
      </w:r>
      <w:r>
        <w:t xml:space="preserve"> define the c</w:t>
      </w:r>
      <w:r w:rsidR="004D3C38">
        <w:t xml:space="preserve">ountry risk premiums as </w:t>
      </w:r>
      <w:r>
        <w:t xml:space="preserve">the sovereign bond spreads. </w:t>
      </w:r>
      <w:r w:rsidR="00B87ED2">
        <w:t xml:space="preserve">In their work, they </w:t>
      </w:r>
      <w:r w:rsidR="00B87ED2" w:rsidRPr="008079B8">
        <w:t>measure political risk and introduc</w:t>
      </w:r>
      <w:r w:rsidR="00B87ED2">
        <w:t>e</w:t>
      </w:r>
      <w:r w:rsidR="00B87ED2" w:rsidRPr="008079B8">
        <w:t xml:space="preserve"> fiscal</w:t>
      </w:r>
      <w:r w:rsidR="00B87ED2">
        <w:t xml:space="preserve"> </w:t>
      </w:r>
      <w:r w:rsidR="00B87ED2" w:rsidRPr="008079B8">
        <w:t>variables into a model of spreads for a sample of 30 emerging market economies</w:t>
      </w:r>
      <w:r w:rsidR="00B87ED2">
        <w:t xml:space="preserve">. </w:t>
      </w:r>
      <w:r>
        <w:t xml:space="preserve">They </w:t>
      </w:r>
      <w:r w:rsidR="00B87ED2" w:rsidRPr="00B87ED2">
        <w:t>find out</w:t>
      </w:r>
      <w:r>
        <w:t xml:space="preserve"> that fiscal and political factors are the key determinants of the country risk.</w:t>
      </w:r>
      <w:r w:rsidR="008079B8">
        <w:t xml:space="preserve"> </w:t>
      </w:r>
    </w:p>
    <w:p w14:paraId="58F7D509" w14:textId="1DDA05BC" w:rsidR="004D3C38" w:rsidRPr="007E011B" w:rsidRDefault="00AE7696" w:rsidP="004D3C38">
      <w:r>
        <w:t xml:space="preserve">For </w:t>
      </w:r>
      <w:proofErr w:type="spellStart"/>
      <w:r>
        <w:t>Bellas</w:t>
      </w:r>
      <w:proofErr w:type="spellEnd"/>
      <w:r>
        <w:t xml:space="preserve">, </w:t>
      </w:r>
      <w:proofErr w:type="spellStart"/>
      <w:r w:rsidRPr="0031310F">
        <w:rPr>
          <w:bCs/>
        </w:rPr>
        <w:t>Papaioannou</w:t>
      </w:r>
      <w:proofErr w:type="spellEnd"/>
      <w:r>
        <w:rPr>
          <w:bCs/>
        </w:rPr>
        <w:t xml:space="preserve"> &amp;</w:t>
      </w:r>
      <w:r w:rsidRPr="0031310F">
        <w:rPr>
          <w:bCs/>
        </w:rPr>
        <w:t xml:space="preserve"> </w:t>
      </w:r>
      <w:proofErr w:type="spellStart"/>
      <w:r w:rsidRPr="0031310F">
        <w:rPr>
          <w:bCs/>
        </w:rPr>
        <w:t>Petrova</w:t>
      </w:r>
      <w:proofErr w:type="spellEnd"/>
      <w:r>
        <w:rPr>
          <w:bCs/>
        </w:rPr>
        <w:t xml:space="preserve"> </w:t>
      </w:r>
      <w:r>
        <w:rPr>
          <w:bCs/>
        </w:rPr>
        <w:fldChar w:fldCharType="begin"/>
      </w:r>
      <w:r w:rsidR="00DA7DDA">
        <w:rPr>
          <w:bCs/>
        </w:rPr>
        <w:instrText xml:space="preserve"> ADDIN ZOTERO_ITEM {"citationID":"2hg7f91fma","properties":{"formattedCitation":"(2010)","plainCitation":"(2010)"},"citationItems":[{"id":919,"uris":["http://zotero.org/users/338027/items/45JTT2Q8"],"uri":["http://zotero.org/users/338027/items/45JTT2Q8"],"suppress-author":true}]} </w:instrText>
      </w:r>
      <w:r>
        <w:rPr>
          <w:bCs/>
        </w:rPr>
        <w:fldChar w:fldCharType="separate"/>
      </w:r>
      <w:r>
        <w:rPr>
          <w:bCs/>
          <w:noProof/>
        </w:rPr>
        <w:t>(2010)</w:t>
      </w:r>
      <w:r>
        <w:rPr>
          <w:bCs/>
        </w:rPr>
        <w:fldChar w:fldCharType="end"/>
      </w:r>
      <w:r>
        <w:rPr>
          <w:bCs/>
        </w:rPr>
        <w:t xml:space="preserve"> macroeconomic variables are the main determinant of the sovereign spread in the long run, but financial volatility does in the short run. In the same line, </w:t>
      </w:r>
      <w:proofErr w:type="spellStart"/>
      <w:r w:rsidR="004D3C38">
        <w:t>Hilscher</w:t>
      </w:r>
      <w:proofErr w:type="spellEnd"/>
      <w:r w:rsidR="004D3C38">
        <w:t xml:space="preserve"> &amp; </w:t>
      </w:r>
      <w:proofErr w:type="spellStart"/>
      <w:r w:rsidR="004D3C38">
        <w:t>Nosbush</w:t>
      </w:r>
      <w:proofErr w:type="spellEnd"/>
      <w:r w:rsidR="004D3C38">
        <w:t xml:space="preserve"> </w:t>
      </w:r>
      <w:r w:rsidR="004D3C38">
        <w:fldChar w:fldCharType="begin"/>
      </w:r>
      <w:r w:rsidR="00DA7DDA">
        <w:instrText xml:space="preserve"> ADDIN ZOTERO_ITEM {"citationID":"283b9nf6er","properties":{"formattedCitation":"(2010)","plainCitation":"(2010)"},"citationItems":[{"id":878,"uris":["http://zotero.org/users/338027/items/SHEBTTKM"],"uri":["http://zotero.org/users/338027/items/SHEBTTKM"],"suppress-author":true}]} </w:instrText>
      </w:r>
      <w:r w:rsidR="004D3C38">
        <w:fldChar w:fldCharType="separate"/>
      </w:r>
      <w:r w:rsidR="004D3C38">
        <w:rPr>
          <w:noProof/>
        </w:rPr>
        <w:t>(2010)</w:t>
      </w:r>
      <w:r w:rsidR="004D3C38">
        <w:fldChar w:fldCharType="end"/>
      </w:r>
      <w:r w:rsidR="004D3C38">
        <w:t xml:space="preserve"> studied the effects of macroeconomic fundamentals on emerging market sovereign credit spreads. Volatility of terms of trade (instrumented with a country-specific commodity price index) and country fundamentals, have</w:t>
      </w:r>
      <w:r w:rsidR="0031104A">
        <w:t xml:space="preserve"> substantial explanatory power. </w:t>
      </w:r>
      <w:r w:rsidR="00F16939">
        <w:t xml:space="preserve">On the other hand, </w:t>
      </w:r>
      <w:proofErr w:type="spellStart"/>
      <w:r w:rsidR="00F16939">
        <w:t>Ferrucci</w:t>
      </w:r>
      <w:proofErr w:type="spellEnd"/>
      <w:r w:rsidR="00F16939">
        <w:t xml:space="preserve"> </w:t>
      </w:r>
      <w:r w:rsidR="00F902EC">
        <w:fldChar w:fldCharType="begin"/>
      </w:r>
      <w:r w:rsidR="00DA7DDA">
        <w:instrText xml:space="preserve"> ADDIN ZOTERO_ITEM {"citationID":"oci445ma7","properties":{"formattedCitation":"(2003)","plainCitation":"(2003)"},"citationItems":[{"id":928,"uris":["http://zotero.org/users/338027/items/Q79XA3DT"],"uri":["http://zotero.org/users/338027/items/Q79XA3DT"],"suppress-author":true}]} </w:instrText>
      </w:r>
      <w:r w:rsidR="00F902EC">
        <w:fldChar w:fldCharType="separate"/>
      </w:r>
      <w:r w:rsidR="00F902EC">
        <w:rPr>
          <w:noProof/>
        </w:rPr>
        <w:t>(2003)</w:t>
      </w:r>
      <w:r w:rsidR="00F902EC">
        <w:fldChar w:fldCharType="end"/>
      </w:r>
      <w:r w:rsidR="00F902EC">
        <w:t xml:space="preserve"> </w:t>
      </w:r>
      <w:r w:rsidR="00F16939">
        <w:t xml:space="preserve">points out that along with the macroeconomic factors, </w:t>
      </w:r>
      <w:r w:rsidR="00F902EC">
        <w:t xml:space="preserve">in emerging markets </w:t>
      </w:r>
      <w:r w:rsidR="00F16939">
        <w:t>external liquidity conditions are also significant determinants</w:t>
      </w:r>
      <w:r w:rsidR="00F902EC">
        <w:t xml:space="preserve"> of the sovereign spread</w:t>
      </w:r>
      <w:r w:rsidR="00F16939">
        <w:t>.</w:t>
      </w:r>
      <w:r w:rsidR="00BC1A79">
        <w:t xml:space="preserve"> </w:t>
      </w:r>
    </w:p>
    <w:p w14:paraId="4BD602FC" w14:textId="11F2F25E" w:rsidR="004D3C38" w:rsidRDefault="004673E8" w:rsidP="004D3C38">
      <w:r>
        <w:lastRenderedPageBreak/>
        <w:t xml:space="preserve">In addition, </w:t>
      </w:r>
      <w:proofErr w:type="spellStart"/>
      <w:r w:rsidR="004D3C38">
        <w:t>Baek</w:t>
      </w:r>
      <w:proofErr w:type="spellEnd"/>
      <w:r w:rsidR="004D3C38">
        <w:t>,</w:t>
      </w:r>
      <w:r w:rsidR="004D3C38" w:rsidRPr="00651E00">
        <w:t xml:space="preserve"> </w:t>
      </w:r>
      <w:proofErr w:type="spellStart"/>
      <w:r w:rsidR="004D3C38" w:rsidRPr="00651E00">
        <w:t>Bandopadhyaya</w:t>
      </w:r>
      <w:proofErr w:type="spellEnd"/>
      <w:r w:rsidR="004D3C38" w:rsidRPr="00651E00">
        <w:t xml:space="preserve"> </w:t>
      </w:r>
      <w:r>
        <w:t xml:space="preserve">&amp; </w:t>
      </w:r>
      <w:r w:rsidR="004D3C38" w:rsidRPr="00651E00">
        <w:t>Chan</w:t>
      </w:r>
      <w:r w:rsidR="004D3C38">
        <w:t xml:space="preserve"> </w:t>
      </w:r>
      <w:r w:rsidR="004D3C38">
        <w:fldChar w:fldCharType="begin"/>
      </w:r>
      <w:r w:rsidR="00DA7DDA">
        <w:instrText xml:space="preserve"> ADDIN ZOTERO_ITEM {"citationID":"1omtife9a6","properties":{"formattedCitation":"(2005)","plainCitation":"(2005)"},"citationItems":[{"id":800,"uris":["http://zotero.org/users/338027/items/EV2324AA"],"uri":["http://zotero.org/users/338027/items/EV2324AA"],"suppress-author":true}]} </w:instrText>
      </w:r>
      <w:r w:rsidR="004D3C38">
        <w:fldChar w:fldCharType="separate"/>
      </w:r>
      <w:r w:rsidR="004D3C38">
        <w:rPr>
          <w:noProof/>
        </w:rPr>
        <w:t>(2005)</w:t>
      </w:r>
      <w:r w:rsidR="004D3C38">
        <w:fldChar w:fldCharType="end"/>
      </w:r>
      <w:r w:rsidR="004D3C38">
        <w:t xml:space="preserve"> </w:t>
      </w:r>
      <w:r>
        <w:t>point out that in spite of macroeconomics is an important determinant of s</w:t>
      </w:r>
      <w:r w:rsidR="003A4B80">
        <w:t xml:space="preserve">overeign risk, the risk attitude of the market is another significant determinant. They constructed their own measure called </w:t>
      </w:r>
      <w:r w:rsidR="004D3C38">
        <w:t>Risk Appetite Index</w:t>
      </w:r>
      <w:r w:rsidR="00126BA4">
        <w:t xml:space="preserve"> in order to assess the impact of the market attitude toward risk on the Brady bond spread</w:t>
      </w:r>
      <w:r w:rsidR="004D3C38">
        <w:t>.</w:t>
      </w:r>
      <w:r w:rsidR="005C482C" w:rsidRPr="005C482C">
        <w:t xml:space="preserve"> </w:t>
      </w:r>
      <w:proofErr w:type="spellStart"/>
      <w:r w:rsidR="005C482C">
        <w:t>Ludgvinson</w:t>
      </w:r>
      <w:proofErr w:type="spellEnd"/>
      <w:r w:rsidR="005C482C">
        <w:t xml:space="preserve"> &amp; Ng </w:t>
      </w:r>
      <w:r w:rsidR="005C482C">
        <w:fldChar w:fldCharType="begin"/>
      </w:r>
      <w:r w:rsidR="00DA7DDA">
        <w:instrText xml:space="preserve"> ADDIN ZOTERO_ITEM {"citationID":"sliej9ttf","properties":{"formattedCitation":"(2009)","plainCitation":"(2009)"},"citationItems":[{"id":874,"uris":["http://zotero.org/users/338027/items/PKUGRBDM"],"uri":["http://zotero.org/users/338027/items/PKUGRBDM"],"suppress-author":true}]} </w:instrText>
      </w:r>
      <w:r w:rsidR="005C482C">
        <w:fldChar w:fldCharType="separate"/>
      </w:r>
      <w:r w:rsidR="005C482C">
        <w:rPr>
          <w:noProof/>
        </w:rPr>
        <w:t>(2009)</w:t>
      </w:r>
      <w:r w:rsidR="005C482C">
        <w:fldChar w:fldCharType="end"/>
      </w:r>
      <w:r w:rsidR="005C482C">
        <w:t xml:space="preserve"> studied the impact of macroeconomic factors in a dynamic framework, and found a cyclical behavior of these factors in returns and long-term yield predictions.</w:t>
      </w:r>
    </w:p>
    <w:p w14:paraId="19E0953E" w14:textId="4D60EC04" w:rsidR="00F902EC" w:rsidRDefault="00F902EC" w:rsidP="00F902EC">
      <w:r>
        <w:t xml:space="preserve">A recent study by </w:t>
      </w:r>
      <w:proofErr w:type="spellStart"/>
      <w:r>
        <w:t>Dahlquist</w:t>
      </w:r>
      <w:proofErr w:type="spellEnd"/>
      <w:r>
        <w:t xml:space="preserve"> &amp; </w:t>
      </w:r>
      <w:proofErr w:type="spellStart"/>
      <w:r>
        <w:t>Hasseltoft</w:t>
      </w:r>
      <w:proofErr w:type="spellEnd"/>
      <w:r>
        <w:t xml:space="preserve"> </w:t>
      </w:r>
      <w:r>
        <w:fldChar w:fldCharType="begin"/>
      </w:r>
      <w:r w:rsidR="00DA7DDA">
        <w:instrText xml:space="preserve"> ADDIN ZOTERO_ITEM {"citationID":"2ieehjnhqc","properties":{"formattedCitation":"(2013)","plainCitation":"(2013)"},"citationItems":[{"id":927,"uris":["http://zotero.org/users/338027/items/PFSJPT7H"],"uri":["http://zotero.org/users/338027/items/PFSJPT7H"],"suppress-author":true}]} </w:instrText>
      </w:r>
      <w:r>
        <w:fldChar w:fldCharType="separate"/>
      </w:r>
      <w:r>
        <w:rPr>
          <w:noProof/>
        </w:rPr>
        <w:t>(2013)</w:t>
      </w:r>
      <w:r>
        <w:fldChar w:fldCharType="end"/>
      </w:r>
      <w:r>
        <w:t xml:space="preserve"> found, more than the macroeconomic factors, the influence of local factors in bond risk premiums across international bond markets.</w:t>
      </w:r>
      <w:r w:rsidR="002413F8">
        <w:t xml:space="preserve"> In contrast, </w:t>
      </w:r>
      <w:proofErr w:type="spellStart"/>
      <w:r w:rsidR="002413F8">
        <w:t>Westphalen</w:t>
      </w:r>
      <w:proofErr w:type="spellEnd"/>
      <w:r w:rsidR="002413F8">
        <w:t xml:space="preserve"> </w:t>
      </w:r>
      <w:r w:rsidR="002413F8">
        <w:fldChar w:fldCharType="begin"/>
      </w:r>
      <w:r w:rsidR="00DA7DDA">
        <w:instrText xml:space="preserve"> ADDIN ZOTERO_ITEM {"citationID":"6tufmgupa","properties":{"formattedCitation":"(2001)","plainCitation":"(2001)"},"citationItems":[{"id":879,"uris":["http://zotero.org/users/338027/items/T4WQQG4P"],"uri":["http://zotero.org/users/338027/items/T4WQQG4P"],"suppress-author":true}]} </w:instrText>
      </w:r>
      <w:r w:rsidR="002413F8">
        <w:fldChar w:fldCharType="separate"/>
      </w:r>
      <w:r w:rsidR="002413F8">
        <w:rPr>
          <w:noProof/>
        </w:rPr>
        <w:t>(2001)</w:t>
      </w:r>
      <w:r w:rsidR="002413F8">
        <w:fldChar w:fldCharType="end"/>
      </w:r>
      <w:r w:rsidR="002413F8">
        <w:t xml:space="preserve"> considers that there is a systematic risk factor farther than just country risk, termed ‘sovereign bond market factor’ (</w:t>
      </w:r>
      <w:proofErr w:type="spellStart"/>
      <w:r w:rsidR="002413F8">
        <w:t>Westphalen</w:t>
      </w:r>
      <w:proofErr w:type="spellEnd"/>
      <w:r w:rsidR="002413F8">
        <w:t xml:space="preserve">, </w:t>
      </w:r>
      <w:r w:rsidR="002413F8" w:rsidRPr="00D07E04">
        <w:t>2001</w:t>
      </w:r>
      <w:r w:rsidR="002413F8">
        <w:t>, pg. 22</w:t>
      </w:r>
      <w:r w:rsidR="002413F8" w:rsidRPr="00D07E04">
        <w:t>)</w:t>
      </w:r>
      <w:r w:rsidR="002413F8">
        <w:t>. Nonetheless, the author remarks that it needs to be tested if the corporate bond market influences this factor is.</w:t>
      </w:r>
    </w:p>
    <w:p w14:paraId="0030FF23" w14:textId="3B726B8E" w:rsidR="004D3C38" w:rsidRDefault="00126BA4" w:rsidP="004D3C38">
      <w:r>
        <w:t>In another branch of the</w:t>
      </w:r>
      <w:r w:rsidR="00693975">
        <w:t xml:space="preserve"> literature, </w:t>
      </w:r>
      <w:r w:rsidR="003A4B80">
        <w:t>s</w:t>
      </w:r>
      <w:r w:rsidR="004D3C38">
        <w:t>overeign ratings</w:t>
      </w:r>
      <w:r w:rsidR="003A4B80">
        <w:t xml:space="preserve"> are considered the main determinant</w:t>
      </w:r>
      <w:r w:rsidR="005C482C">
        <w:t>s</w:t>
      </w:r>
      <w:r w:rsidR="003A4B80">
        <w:t xml:space="preserve"> of sovereign risk</w:t>
      </w:r>
      <w:r w:rsidR="004D3C38">
        <w:t xml:space="preserve"> </w:t>
      </w:r>
      <w:r w:rsidR="00693975">
        <w:t xml:space="preserve">premium </w:t>
      </w:r>
      <w:r w:rsidR="004D3C38">
        <w:fldChar w:fldCharType="begin"/>
      </w:r>
      <w:r w:rsidR="00DA7DDA">
        <w:instrText xml:space="preserve"> ADDIN ZOTERO_ITEM {"citationID":"2m932rnj11","properties":{"formattedCitation":"(Kaminsky &amp; Schmukler, 2002; Klein &amp; Stellner, 2013; Remolona, Scatigna, &amp; Wu, 2008)","plainCitation":"(Kaminsky &amp; Schmukler, 2002; Klein &amp; Stellner, 2013; Remolona, Scatigna, &amp; Wu, 2008)"},"citationItems":[{"id":876,"uris":["http://zotero.org/users/338027/items/QI3SBR79"],"uri":["http://zotero.org/users/338027/items/QI3SBR79"]},{"id":880,"uris":["http://zotero.org/users/338027/items/U6R6STNR"],"uri":["http://zotero.org/users/338027/items/U6R6STNR"]},{"id":112,"uris":["http://zotero.org/users/338027/items/9RAUTENH"],"uri":["http://zotero.org/users/338027/items/9RAUTENH"]}]} </w:instrText>
      </w:r>
      <w:r w:rsidR="004D3C38">
        <w:fldChar w:fldCharType="separate"/>
      </w:r>
      <w:r w:rsidR="004D3C38">
        <w:rPr>
          <w:noProof/>
        </w:rPr>
        <w:t>(Kaminsky &amp; Schmukler, 2002; Klein &amp; Stellner, 2013; Remolona, Scatigna, &amp; Wu, 2008)</w:t>
      </w:r>
      <w:r w:rsidR="004D3C38">
        <w:fldChar w:fldCharType="end"/>
      </w:r>
      <w:r w:rsidR="003A4B80">
        <w:t>.</w:t>
      </w:r>
      <w:r w:rsidR="00DB1D5B" w:rsidRPr="00DB1D5B">
        <w:t xml:space="preserve"> </w:t>
      </w:r>
      <w:r>
        <w:t xml:space="preserve">In this line, </w:t>
      </w:r>
      <w:r w:rsidR="00994A1E">
        <w:t>Cantor &amp; Pac</w:t>
      </w:r>
      <w:r w:rsidR="00DB1D5B">
        <w:t xml:space="preserve">ker </w:t>
      </w:r>
      <w:r w:rsidR="00DB1D5B">
        <w:fldChar w:fldCharType="begin"/>
      </w:r>
      <w:r w:rsidR="00DA7DDA">
        <w:instrText xml:space="preserve"> ADDIN ZOTERO_ITEM {"citationID":"ecjesmia1","properties":{"formattedCitation":"(1996)","plainCitation":"(1996)"},"citationItems":[{"id":877,"uris":["http://zotero.org/users/338027/items/SCSRS6AP"],"uri":["http://zotero.org/users/338027/items/SCSRS6AP"],"suppress-author":true}]} </w:instrText>
      </w:r>
      <w:r w:rsidR="00DB1D5B">
        <w:fldChar w:fldCharType="separate"/>
      </w:r>
      <w:r w:rsidR="00DB1D5B">
        <w:rPr>
          <w:noProof/>
        </w:rPr>
        <w:t>(1996)</w:t>
      </w:r>
      <w:r w:rsidR="00DB1D5B">
        <w:fldChar w:fldCharType="end"/>
      </w:r>
      <w:r w:rsidR="00DB1D5B">
        <w:t xml:space="preserve"> studied the determinants of sovereign credit ratings. Though this is not the scope of our research, they find that credit ratings have independent influence on credit spreads and are </w:t>
      </w:r>
      <w:r w:rsidR="00994A1E">
        <w:t>correlated positively with macroeconomic factors.</w:t>
      </w:r>
    </w:p>
    <w:p w14:paraId="00B013EB" w14:textId="645AA44C" w:rsidR="004D3C38" w:rsidRPr="007E011B" w:rsidRDefault="004D3C38" w:rsidP="004D3C38">
      <w:r w:rsidRPr="006E2169">
        <w:rPr>
          <w:lang w:val="es-CO"/>
        </w:rPr>
        <w:t xml:space="preserve">Martinez, </w:t>
      </w:r>
      <w:proofErr w:type="spellStart"/>
      <w:r w:rsidRPr="006E2169">
        <w:rPr>
          <w:lang w:val="es-CO"/>
        </w:rPr>
        <w:t>Terceño</w:t>
      </w:r>
      <w:proofErr w:type="spellEnd"/>
      <w:r w:rsidRPr="006E2169">
        <w:rPr>
          <w:lang w:val="es-CO"/>
        </w:rPr>
        <w:t xml:space="preserve"> &amp; Teruel </w:t>
      </w:r>
      <w:r>
        <w:fldChar w:fldCharType="begin"/>
      </w:r>
      <w:r w:rsidR="00DA7DDA">
        <w:rPr>
          <w:lang w:val="es-CO"/>
        </w:rPr>
        <w:instrText xml:space="preserve"> ADDIN ZOTERO_ITEM {"citationID":"2cngnpn81o","properties":{"formattedCitation":"(2013)","plainCitation":"(2013)"},"citationItems":[{"id":897,"uris":["http://zotero.org/users/338027/items/RN6CH2EH"],"uri":["http://zotero.org/users/338027/items/RN6CH2EH"],"suppress-author":true}]} </w:instrText>
      </w:r>
      <w:r>
        <w:fldChar w:fldCharType="separate"/>
      </w:r>
      <w:r w:rsidRPr="006E2169">
        <w:rPr>
          <w:noProof/>
          <w:lang w:val="es-CO"/>
        </w:rPr>
        <w:t>(2013)</w:t>
      </w:r>
      <w:r>
        <w:fldChar w:fldCharType="end"/>
      </w:r>
      <w:r w:rsidRPr="006E2169">
        <w:rPr>
          <w:lang w:val="es-CO"/>
        </w:rPr>
        <w:t xml:space="preserve"> </w:t>
      </w:r>
      <w:r w:rsidR="00F902EC" w:rsidRPr="006E2169">
        <w:rPr>
          <w:lang w:val="es-CO"/>
        </w:rPr>
        <w:t xml:space="preserve">and </w:t>
      </w:r>
      <w:proofErr w:type="spellStart"/>
      <w:r w:rsidR="00F902EC" w:rsidRPr="006E2169">
        <w:rPr>
          <w:szCs w:val="24"/>
          <w:lang w:val="es-CO"/>
        </w:rPr>
        <w:t>Terceño</w:t>
      </w:r>
      <w:proofErr w:type="spellEnd"/>
      <w:r w:rsidR="00F902EC" w:rsidRPr="006E2169">
        <w:rPr>
          <w:szCs w:val="24"/>
          <w:lang w:val="es-CO"/>
        </w:rPr>
        <w:t xml:space="preserve"> et al.</w:t>
      </w:r>
      <w:r w:rsidR="00F902EC" w:rsidRPr="006E2169">
        <w:rPr>
          <w:lang w:val="es-CO"/>
        </w:rPr>
        <w:t xml:space="preserve"> </w:t>
      </w:r>
      <w:r w:rsidR="00F902EC">
        <w:fldChar w:fldCharType="begin"/>
      </w:r>
      <w:r w:rsidR="00DA7DDA">
        <w:rPr>
          <w:lang w:val="es-CO"/>
        </w:rPr>
        <w:instrText xml:space="preserve"> ADDIN ZOTERO_ITEM {"citationID":"gGslYGAA","properties":{"formattedCitation":"(2013)","plainCitation":"(2013)"},"citationItems":[{"id":923,"uris":["http://zotero.org/users/338027/items/F8M88IDT"],"uri":["http://zotero.org/users/338027/items/F8M88IDT"],"suppress-author":true}]} </w:instrText>
      </w:r>
      <w:r w:rsidR="00F902EC">
        <w:fldChar w:fldCharType="separate"/>
      </w:r>
      <w:r w:rsidR="00F902EC">
        <w:rPr>
          <w:szCs w:val="24"/>
        </w:rPr>
        <w:t>(2013)</w:t>
      </w:r>
      <w:r w:rsidR="00F902EC">
        <w:fldChar w:fldCharType="end"/>
      </w:r>
      <w:r w:rsidR="00F902EC">
        <w:t xml:space="preserve"> </w:t>
      </w:r>
      <w:r w:rsidR="00B57368">
        <w:t xml:space="preserve">study the determinants of the sovereign spread for some Latin American countries, and test for the effects of the recent international </w:t>
      </w:r>
      <w:r w:rsidRPr="00D34288">
        <w:t>crisis</w:t>
      </w:r>
      <w:r w:rsidR="00B57368">
        <w:t xml:space="preserve"> in 2008, finding significant results.</w:t>
      </w:r>
    </w:p>
    <w:p w14:paraId="7DF8E03B" w14:textId="77777777" w:rsidR="004D3C38" w:rsidRPr="007E011B" w:rsidRDefault="004D3C38" w:rsidP="004D3C38"/>
    <w:p w14:paraId="4D0853A6" w14:textId="042D0138" w:rsidR="000C4C92" w:rsidRPr="007E011B" w:rsidRDefault="00F857A9" w:rsidP="008B10F5">
      <w:pPr>
        <w:pStyle w:val="Ttulo2"/>
        <w:rPr>
          <w:lang w:val="en-US"/>
        </w:rPr>
      </w:pPr>
      <w:r w:rsidRPr="007E011B">
        <w:rPr>
          <w:lang w:val="en-US"/>
        </w:rPr>
        <w:t xml:space="preserve">The </w:t>
      </w:r>
      <w:r w:rsidR="005F3631">
        <w:rPr>
          <w:lang w:val="en-US"/>
        </w:rPr>
        <w:t xml:space="preserve">influence of </w:t>
      </w:r>
      <w:r w:rsidRPr="007E011B">
        <w:rPr>
          <w:lang w:val="en-US"/>
        </w:rPr>
        <w:t xml:space="preserve">sovereign </w:t>
      </w:r>
      <w:r w:rsidR="005F3631">
        <w:rPr>
          <w:lang w:val="en-US"/>
        </w:rPr>
        <w:t>risk</w:t>
      </w:r>
    </w:p>
    <w:p w14:paraId="21C55C80" w14:textId="77777777" w:rsidR="000C4C92" w:rsidRPr="007E011B" w:rsidRDefault="000C4C92" w:rsidP="00D520A3"/>
    <w:p w14:paraId="00670310" w14:textId="3AECB718" w:rsidR="0031104A" w:rsidRDefault="005F3631" w:rsidP="005F3631">
      <w:r>
        <w:t>Theoretically,</w:t>
      </w:r>
      <w:r w:rsidR="00F857A9" w:rsidRPr="007E011B">
        <w:t xml:space="preserve"> the private debt </w:t>
      </w:r>
      <w:r w:rsidR="0062368E">
        <w:t>should</w:t>
      </w:r>
      <w:r w:rsidR="00F857A9" w:rsidRPr="007E011B">
        <w:t xml:space="preserve"> be riskier than sove</w:t>
      </w:r>
      <w:r w:rsidR="000C4C92" w:rsidRPr="007E011B">
        <w:t>reign debt</w:t>
      </w:r>
      <w:r w:rsidR="00DC0094">
        <w:t>;</w:t>
      </w:r>
      <w:r w:rsidR="00DC0094" w:rsidRPr="00DC0094">
        <w:t xml:space="preserve"> </w:t>
      </w:r>
      <w:r w:rsidR="00DC0094">
        <w:t xml:space="preserve">in other words, the credit rating of a sovereign must be a ceiling for a corporate one </w:t>
      </w:r>
      <w:r w:rsidR="00DC0094">
        <w:fldChar w:fldCharType="begin"/>
      </w:r>
      <w:r w:rsidR="00DA7DDA">
        <w:instrText xml:space="preserve"> ADDIN ZOTERO_ITEM {"citationID":"2h1ampip4n","properties":{"formattedCitation":"(Cuadra, Sanchez, &amp; Sapriza, 2010)","plainCitation":"(Cuadra, Sanchez, &amp; Sapriza, 2010)"},"citationItems":[{"id":921,"uris":["http://zotero.org/users/338027/items/CT2IB937"],"uri":["http://zotero.org/users/338027/items/CT2IB937"]}]} </w:instrText>
      </w:r>
      <w:r w:rsidR="00DC0094">
        <w:fldChar w:fldCharType="separate"/>
      </w:r>
      <w:r w:rsidR="00DC0094">
        <w:rPr>
          <w:noProof/>
        </w:rPr>
        <w:t>(Cuadra, Sanchez, &amp; Sapriza, 2010)</w:t>
      </w:r>
      <w:r w:rsidR="00DC0094">
        <w:fldChar w:fldCharType="end"/>
      </w:r>
      <w:r w:rsidR="000C4C92" w:rsidRPr="007E011B">
        <w:t xml:space="preserve"> in the same country</w:t>
      </w:r>
      <w:r w:rsidR="00DC0094">
        <w:t>.</w:t>
      </w:r>
      <w:r>
        <w:t xml:space="preserve"> </w:t>
      </w:r>
      <w:r w:rsidR="00DC0094">
        <w:t>However</w:t>
      </w:r>
      <w:r>
        <w:t>, evidence shows that it is different in the bond markets</w:t>
      </w:r>
      <w:r w:rsidR="0062368E">
        <w:t xml:space="preserve"> </w:t>
      </w:r>
      <w:r w:rsidR="0062368E">
        <w:fldChar w:fldCharType="begin"/>
      </w:r>
      <w:r w:rsidR="00DA7DDA">
        <w:instrText xml:space="preserve"> ADDIN ZOTERO_ITEM {"citationID":"2aiciv4j8s","properties":{"formattedCitation":"(Durbin &amp; Ng, 2005)","plainCitation":"(Durbin &amp; Ng, 2005)"},"citationItems":[{"id":261,"uris":["http://zotero.org/users/338027/items/KFEQQXUD"],"uri":["http://zotero.org/users/338027/items/KFEQQXUD"]}]} </w:instrText>
      </w:r>
      <w:r w:rsidR="0062368E">
        <w:fldChar w:fldCharType="separate"/>
      </w:r>
      <w:r w:rsidR="0062368E">
        <w:rPr>
          <w:noProof/>
        </w:rPr>
        <w:t>(Durbin &amp; Ng, 2005)</w:t>
      </w:r>
      <w:r w:rsidR="0062368E">
        <w:fldChar w:fldCharType="end"/>
      </w:r>
      <w:r w:rsidR="00105AF4">
        <w:t>.</w:t>
      </w:r>
      <w:r w:rsidRPr="005F3631">
        <w:t xml:space="preserve"> </w:t>
      </w:r>
      <w:r>
        <w:t xml:space="preserve">According to </w:t>
      </w:r>
      <w:r>
        <w:rPr>
          <w:noProof/>
        </w:rPr>
        <w:t>Borensztein, Cowan, &amp; Valenzuela</w:t>
      </w:r>
      <w:r>
        <w:t xml:space="preserve"> </w:t>
      </w:r>
      <w:r>
        <w:fldChar w:fldCharType="begin"/>
      </w:r>
      <w:r w:rsidR="00DA7DDA">
        <w:instrText xml:space="preserve"> ADDIN ZOTERO_ITEM {"citationID":"aM5bBTGb","properties":{"formattedCitation":"(2006)","plainCitation":"(2006)"},"citationItems":[{"id":849,"uris":["http://zotero.org/users/338027/items/HQXGDAV8"],"uri":["http://zotero.org/users/338027/items/HQXGDAV8"],"suppress-author":true}]} </w:instrText>
      </w:r>
      <w:r>
        <w:fldChar w:fldCharType="separate"/>
      </w:r>
      <w:r>
        <w:rPr>
          <w:noProof/>
        </w:rPr>
        <w:t>(2006)</w:t>
      </w:r>
      <w:r>
        <w:fldChar w:fldCharType="end"/>
      </w:r>
      <w:r>
        <w:t xml:space="preserve"> before 1997 no credit rating agency gave </w:t>
      </w:r>
      <w:r w:rsidR="00105AF4">
        <w:t>lower rates to corporate issues,</w:t>
      </w:r>
      <w:r w:rsidR="00105AF4" w:rsidRPr="00105AF4">
        <w:t xml:space="preserve"> </w:t>
      </w:r>
      <w:r w:rsidR="00105AF4">
        <w:t xml:space="preserve">this practice was </w:t>
      </w:r>
      <w:r w:rsidR="00105AF4">
        <w:lastRenderedPageBreak/>
        <w:t xml:space="preserve">termed ‘sovereign ceiling’. But these authors stated that </w:t>
      </w:r>
      <w:r w:rsidR="002D1363">
        <w:t xml:space="preserve">as accepted policy </w:t>
      </w:r>
      <w:r w:rsidR="00105AF4">
        <w:t>it was relaxed from 1997.</w:t>
      </w:r>
      <w:r w:rsidR="00BC1A79">
        <w:t xml:space="preserve"> In fact, </w:t>
      </w:r>
      <w:r w:rsidR="00BC1A79" w:rsidRPr="00BC1A79">
        <w:t>Lee, Naranjo</w:t>
      </w:r>
      <w:r w:rsidR="00BC1A79">
        <w:t xml:space="preserve"> &amp;</w:t>
      </w:r>
      <w:r w:rsidR="00BC1A79" w:rsidRPr="00BC1A79">
        <w:t xml:space="preserve"> </w:t>
      </w:r>
      <w:proofErr w:type="spellStart"/>
      <w:r w:rsidR="00BC1A79" w:rsidRPr="00BC1A79">
        <w:t>Sirman</w:t>
      </w:r>
      <w:r w:rsidR="00BC1A79">
        <w:t>s</w:t>
      </w:r>
      <w:proofErr w:type="spellEnd"/>
      <w:r w:rsidR="00BC1A79">
        <w:t xml:space="preserve"> </w:t>
      </w:r>
      <w:r w:rsidR="005705E3">
        <w:fldChar w:fldCharType="begin"/>
      </w:r>
      <w:r w:rsidR="00DA7DDA">
        <w:instrText xml:space="preserve"> ADDIN ZOTERO_ITEM {"citationID":"1vauksqco4","properties":{"formattedCitation":"(2013)","plainCitation":"(2013)"},"citationItems":[{"id":925,"uris":["http://zotero.org/users/338027/items/FNGABQHZ"],"uri":["http://zotero.org/users/338027/items/FNGABQHZ"],"suppress-author":true}]} </w:instrText>
      </w:r>
      <w:r w:rsidR="005705E3">
        <w:fldChar w:fldCharType="separate"/>
      </w:r>
      <w:r w:rsidR="005705E3">
        <w:rPr>
          <w:noProof/>
        </w:rPr>
        <w:t>(2013)</w:t>
      </w:r>
      <w:r w:rsidR="005705E3">
        <w:fldChar w:fldCharType="end"/>
      </w:r>
      <w:r w:rsidR="005705E3">
        <w:t xml:space="preserve"> </w:t>
      </w:r>
      <w:r w:rsidR="00033B69" w:rsidRPr="00033B69">
        <w:t>observed</w:t>
      </w:r>
      <w:r w:rsidR="00BC1A79">
        <w:t xml:space="preserve"> violations to this </w:t>
      </w:r>
      <w:r w:rsidR="00F62F6A">
        <w:t>practice</w:t>
      </w:r>
      <w:r w:rsidR="00BC1A79">
        <w:t xml:space="preserve"> by countries with stronger institutions</w:t>
      </w:r>
      <w:r w:rsidR="005705E3">
        <w:t xml:space="preserve"> and </w:t>
      </w:r>
      <w:r w:rsidR="00033B69">
        <w:t>with</w:t>
      </w:r>
      <w:r w:rsidR="005705E3">
        <w:t xml:space="preserve"> markets with better disclosure rules.</w:t>
      </w:r>
    </w:p>
    <w:p w14:paraId="0AED2880" w14:textId="0DB67B39" w:rsidR="0031104A" w:rsidRDefault="0031104A" w:rsidP="005F3631">
      <w:pPr>
        <w:rPr>
          <w:noProof/>
        </w:rPr>
      </w:pPr>
      <w:r>
        <w:rPr>
          <w:noProof/>
        </w:rPr>
        <w:t xml:space="preserve">Borensztein, Cowan, &amp; Valenzuela (2006) find that public debt affects private sector because the sovereign ratings are one of the main determinants of </w:t>
      </w:r>
      <w:r w:rsidR="00A028CD">
        <w:rPr>
          <w:noProof/>
        </w:rPr>
        <w:t xml:space="preserve">the ratings assigned to corporate debt. </w:t>
      </w:r>
      <w:r w:rsidR="00033B69">
        <w:rPr>
          <w:noProof/>
        </w:rPr>
        <w:t>For</w:t>
      </w:r>
      <w:r w:rsidR="00A028CD">
        <w:rPr>
          <w:noProof/>
        </w:rPr>
        <w:t xml:space="preserve"> Cáceres, Guzzo &amp; Segoviano </w:t>
      </w:r>
      <w:r w:rsidR="00D31A9B">
        <w:rPr>
          <w:noProof/>
        </w:rPr>
        <w:fldChar w:fldCharType="begin"/>
      </w:r>
      <w:r w:rsidR="00DA7DDA">
        <w:rPr>
          <w:noProof/>
        </w:rPr>
        <w:instrText xml:space="preserve"> ADDIN ZOTERO_ITEM {"citationID":"1e5cbedrt7","properties":{"formattedCitation":"(2010)","plainCitation":"(2010)"},"citationItems":[{"id":924,"uris":["http://zotero.org/users/338027/items/F9KBC4W9"],"uri":["http://zotero.org/users/338027/items/F9KBC4W9"],"suppress-author":true}]} </w:instrText>
      </w:r>
      <w:r w:rsidR="00D31A9B">
        <w:rPr>
          <w:noProof/>
        </w:rPr>
        <w:fldChar w:fldCharType="separate"/>
      </w:r>
      <w:r w:rsidR="00D31A9B">
        <w:rPr>
          <w:noProof/>
        </w:rPr>
        <w:t>(2010)</w:t>
      </w:r>
      <w:r w:rsidR="00D31A9B">
        <w:rPr>
          <w:noProof/>
        </w:rPr>
        <w:fldChar w:fldCharType="end"/>
      </w:r>
      <w:r w:rsidR="00D31A9B">
        <w:rPr>
          <w:noProof/>
        </w:rPr>
        <w:t xml:space="preserve"> the sources of risk has changed from global risk aversion to a country specif factors</w:t>
      </w:r>
      <w:r w:rsidR="00033B69">
        <w:rPr>
          <w:noProof/>
        </w:rPr>
        <w:t>, on the contrary to the stated by Whestphalen (2001)</w:t>
      </w:r>
      <w:r w:rsidR="00D31A9B">
        <w:rPr>
          <w:noProof/>
        </w:rPr>
        <w:t>. This argument is particularly important for this research due to the main objective to find country and industry risk determinants.</w:t>
      </w:r>
    </w:p>
    <w:p w14:paraId="73D4FBCC" w14:textId="24802CF1" w:rsidR="004D3C38" w:rsidRDefault="009639CF" w:rsidP="00D520A3">
      <w:r>
        <w:rPr>
          <w:lang w:eastAsia="es-CO"/>
        </w:rPr>
        <w:t xml:space="preserve">Christopher, Kim &amp; Wu </w:t>
      </w:r>
      <w:r w:rsidR="007779B2">
        <w:rPr>
          <w:lang w:eastAsia="es-CO"/>
        </w:rPr>
        <w:fldChar w:fldCharType="begin"/>
      </w:r>
      <w:r w:rsidR="00DA7DDA">
        <w:rPr>
          <w:lang w:eastAsia="es-CO"/>
        </w:rPr>
        <w:instrText xml:space="preserve"> ADDIN ZOTERO_ITEM {"citationID":"1sh98trrra","properties":{"formattedCitation":"(2012)","plainCitation":"(2012)"},"citationItems":[{"id":926,"uris":["http://zotero.org/users/338027/items/N477M7ZK"],"uri":["http://zotero.org/users/338027/items/N477M7ZK"],"suppress-author":true}]} </w:instrText>
      </w:r>
      <w:r w:rsidR="007779B2">
        <w:rPr>
          <w:lang w:eastAsia="es-CO"/>
        </w:rPr>
        <w:fldChar w:fldCharType="separate"/>
      </w:r>
      <w:r w:rsidR="007779B2">
        <w:rPr>
          <w:noProof/>
          <w:lang w:eastAsia="es-CO"/>
        </w:rPr>
        <w:t>(2012)</w:t>
      </w:r>
      <w:r w:rsidR="007779B2">
        <w:rPr>
          <w:lang w:eastAsia="es-CO"/>
        </w:rPr>
        <w:fldChar w:fldCharType="end"/>
      </w:r>
      <w:r>
        <w:rPr>
          <w:lang w:eastAsia="es-CO"/>
        </w:rPr>
        <w:t xml:space="preserve"> studied not only the effect of sovereign ratings on bonds, but in stocks as well. They find that there is a contagion effect regarding the debt in regions studied; but this effect does not seem to occur with stocks, since there is a capital migration to the neighborhood when country is downgraded.</w:t>
      </w:r>
    </w:p>
    <w:p w14:paraId="4CCCAFDA" w14:textId="6E39D3D9" w:rsidR="004D3C38" w:rsidRDefault="00F60ABA" w:rsidP="00D520A3">
      <w:proofErr w:type="spellStart"/>
      <w:r>
        <w:t>Ağ</w:t>
      </w:r>
      <w:r w:rsidR="00F616F1">
        <w:t>ca</w:t>
      </w:r>
      <w:proofErr w:type="spellEnd"/>
      <w:r w:rsidR="00F616F1">
        <w:t xml:space="preserve"> &amp; </w:t>
      </w:r>
      <w:proofErr w:type="spellStart"/>
      <w:r w:rsidR="00F616F1">
        <w:t>Celasun</w:t>
      </w:r>
      <w:proofErr w:type="spellEnd"/>
      <w:r w:rsidR="00F616F1">
        <w:t xml:space="preserve"> </w:t>
      </w:r>
      <w:r w:rsidR="007779B2">
        <w:fldChar w:fldCharType="begin"/>
      </w:r>
      <w:r w:rsidR="00DA7DDA">
        <w:instrText xml:space="preserve"> ADDIN ZOTERO_ITEM {"citationID":"dj1d7beqn","properties":{"formattedCitation":"(2009)","plainCitation":"(2009)"},"citationItems":[{"id":930,"uris":["http://zotero.org/users/338027/items/V625XE7N"],"uri":["http://zotero.org/users/338027/items/V625XE7N"],"suppress-author":true}]} </w:instrText>
      </w:r>
      <w:r w:rsidR="007779B2">
        <w:fldChar w:fldCharType="separate"/>
      </w:r>
      <w:r w:rsidR="00F217BE">
        <w:rPr>
          <w:noProof/>
        </w:rPr>
        <w:t>(2009)</w:t>
      </w:r>
      <w:r w:rsidR="007779B2">
        <w:fldChar w:fldCharType="end"/>
      </w:r>
      <w:r w:rsidR="00F217BE">
        <w:t xml:space="preserve"> </w:t>
      </w:r>
      <w:r w:rsidR="00F616F1">
        <w:t xml:space="preserve">argue that an increasing in public debt </w:t>
      </w:r>
      <w:r w:rsidR="002D1363">
        <w:t xml:space="preserve">affects the private sector by rising up the risk of the country, which makes the private sector less attractive for foreign creditors. This is more critical in countries with scarce creditor rights. </w:t>
      </w:r>
      <w:r w:rsidR="004D3C38">
        <w:t xml:space="preserve">From </w:t>
      </w:r>
      <w:r w:rsidR="00F616F1">
        <w:t xml:space="preserve">a </w:t>
      </w:r>
      <w:r w:rsidR="00ED5716">
        <w:t>counter way</w:t>
      </w:r>
      <w:r w:rsidR="00F616F1">
        <w:t xml:space="preserve"> perspective, </w:t>
      </w:r>
      <w:proofErr w:type="spellStart"/>
      <w:r w:rsidR="00F616F1">
        <w:t>Celasun</w:t>
      </w:r>
      <w:proofErr w:type="spellEnd"/>
      <w:r w:rsidR="004D3C38">
        <w:t xml:space="preserve"> &amp; Harms </w:t>
      </w:r>
      <w:r w:rsidR="004D3C38">
        <w:fldChar w:fldCharType="begin"/>
      </w:r>
      <w:r w:rsidR="00DA7DDA">
        <w:instrText xml:space="preserve"> ADDIN ZOTERO_ITEM {"citationID":"rjo8oblr9","properties":{"formattedCitation":"(2011)","plainCitation":"(2011)"},"citationItems":[{"id":917,"uris":["http://zotero.org/users/338027/items/2D4U3UD4"],"uri":["http://zotero.org/users/338027/items/2D4U3UD4"],"suppress-author":true}]} </w:instrText>
      </w:r>
      <w:r w:rsidR="004D3C38">
        <w:fldChar w:fldCharType="separate"/>
      </w:r>
      <w:r w:rsidR="004D3C38">
        <w:rPr>
          <w:noProof/>
        </w:rPr>
        <w:t>(2011)</w:t>
      </w:r>
      <w:r w:rsidR="004D3C38">
        <w:fldChar w:fldCharType="end"/>
      </w:r>
      <w:r w:rsidR="004D3C38">
        <w:t xml:space="preserve"> assess the influence of corporate debt on the probability that any country defaults. They found that the more </w:t>
      </w:r>
      <w:r w:rsidR="0031104A">
        <w:t xml:space="preserve">proportion of </w:t>
      </w:r>
      <w:r w:rsidR="004D3C38">
        <w:t>private debt, the less probability for a country’s default.</w:t>
      </w:r>
      <w:r w:rsidR="002D1363">
        <w:t xml:space="preserve"> In both cases the conclusions leads to an argument on the importance of the management of public debt.</w:t>
      </w:r>
    </w:p>
    <w:p w14:paraId="0295186A" w14:textId="5AA11300" w:rsidR="00AF787A" w:rsidRDefault="00AF787A" w:rsidP="00D520A3">
      <w:r>
        <w:t xml:space="preserve">In the subject of sovereign debt, there is a review by </w:t>
      </w:r>
      <w:r>
        <w:rPr>
          <w:noProof/>
        </w:rPr>
        <w:t xml:space="preserve">Panizza, Sturzenegger, &amp; </w:t>
      </w:r>
      <w:r w:rsidRPr="00F217BE">
        <w:rPr>
          <w:noProof/>
        </w:rPr>
        <w:t>Zettelmeyer</w:t>
      </w:r>
      <w:r>
        <w:t xml:space="preserve"> </w:t>
      </w:r>
      <w:r>
        <w:fldChar w:fldCharType="begin"/>
      </w:r>
      <w:r w:rsidR="00DA7DDA">
        <w:instrText xml:space="preserve"> ADDIN ZOTERO_ITEM {"citationID":"0ByOJE8r","properties":{"formattedCitation":"(2009)","plainCitation":"(2009)"},"citationItems":[{"id":922,"uris":["http://zotero.org/users/338027/items/F875K53I"],"uri":["http://zotero.org/users/338027/items/F875K53I"],"suppress-author":true}]} </w:instrText>
      </w:r>
      <w:r>
        <w:fldChar w:fldCharType="separate"/>
      </w:r>
      <w:r w:rsidR="00F217BE">
        <w:rPr>
          <w:noProof/>
        </w:rPr>
        <w:t>(2009)</w:t>
      </w:r>
      <w:r>
        <w:fldChar w:fldCharType="end"/>
      </w:r>
      <w:r>
        <w:t>, in which the authors found more relevance in theories treating the sovereign debt management from a country specific perspective (institutions) than from a global point of view (enforcement).</w:t>
      </w:r>
    </w:p>
    <w:p w14:paraId="49DC69D5" w14:textId="77777777" w:rsidR="000C4C92" w:rsidRPr="007E011B" w:rsidRDefault="000C4C92" w:rsidP="00D520A3"/>
    <w:p w14:paraId="507C03E9" w14:textId="623799A7" w:rsidR="000C4C92" w:rsidRPr="007E011B" w:rsidRDefault="007E011B" w:rsidP="008B10F5">
      <w:pPr>
        <w:pStyle w:val="Ttulo2"/>
        <w:rPr>
          <w:lang w:val="en-US"/>
        </w:rPr>
      </w:pPr>
      <w:r>
        <w:rPr>
          <w:lang w:val="en-US"/>
        </w:rPr>
        <w:t>Spread between Sovereign and Corporates</w:t>
      </w:r>
    </w:p>
    <w:p w14:paraId="40AEEF0A" w14:textId="77777777" w:rsidR="000C4C92" w:rsidRPr="007E011B" w:rsidRDefault="000C4C92" w:rsidP="00D520A3"/>
    <w:p w14:paraId="5F9FFB6D" w14:textId="4FBF2AAD" w:rsidR="004F6697" w:rsidRDefault="00C17AE0" w:rsidP="00D520A3">
      <w:r>
        <w:t>There are several works based on the theory of sovereign ceiling. From this perspective, researchers have tried to find</w:t>
      </w:r>
      <w:r w:rsidR="00F857A9" w:rsidRPr="007E011B">
        <w:t xml:space="preserve"> </w:t>
      </w:r>
      <w:r>
        <w:t>as one of the</w:t>
      </w:r>
      <w:r w:rsidR="00F857A9" w:rsidRPr="007E011B">
        <w:t xml:space="preserve"> </w:t>
      </w:r>
      <w:r w:rsidR="00325C55" w:rsidRPr="007E011B">
        <w:t>determinants</w:t>
      </w:r>
      <w:r w:rsidR="00F857A9" w:rsidRPr="007E011B">
        <w:t xml:space="preserve"> of the </w:t>
      </w:r>
      <w:r w:rsidRPr="007E011B">
        <w:t xml:space="preserve">corporate </w:t>
      </w:r>
      <w:r w:rsidR="00F857A9" w:rsidRPr="007E011B">
        <w:t>spread</w:t>
      </w:r>
      <w:r>
        <w:t>, the</w:t>
      </w:r>
      <w:r w:rsidR="00F857A9" w:rsidRPr="007E011B">
        <w:t xml:space="preserve"> sovereign debt</w:t>
      </w:r>
      <w:r>
        <w:t xml:space="preserve"> itself</w:t>
      </w:r>
      <w:r w:rsidR="00F857A9" w:rsidRPr="007E011B">
        <w:t xml:space="preserve">. </w:t>
      </w:r>
    </w:p>
    <w:p w14:paraId="69B3AF98" w14:textId="202088CB" w:rsidR="004F6697" w:rsidRDefault="00A4303A" w:rsidP="00D520A3">
      <w:r w:rsidRPr="007E011B">
        <w:lastRenderedPageBreak/>
        <w:t xml:space="preserve">Findings on corporate yield spread have placed on the table a </w:t>
      </w:r>
      <w:r w:rsidR="00C17AE0" w:rsidRPr="00C17AE0">
        <w:t>discussion</w:t>
      </w:r>
      <w:r w:rsidR="00C17AE0">
        <w:t xml:space="preserve"> </w:t>
      </w:r>
      <w:r w:rsidRPr="007E011B">
        <w:t xml:space="preserve">regarding the determinants of such spread. In spite of the several researches, findings are not conclusive. </w:t>
      </w:r>
      <w:r w:rsidR="00D3144F" w:rsidRPr="007E011B">
        <w:t xml:space="preserve">Several works have focused on the spreads in Emerging Markets </w:t>
      </w:r>
      <w:r w:rsidR="00D3144F" w:rsidRPr="007E011B">
        <w:fldChar w:fldCharType="begin"/>
      </w:r>
      <w:r w:rsidR="00DA7DDA">
        <w:instrText xml:space="preserve"> ADDIN ZOTERO_ITEM {"citationID":"DqeqrL4B","properties":{"unsorted":true,"formattedCitation":"(Peter &amp; Grandes, 2005; Durbin &amp; Ng, 2005; Cavallo &amp; Valenzuela, 2010; Grandes, Panigo, &amp; Pasquini, 2010)","plainCitation":"(Peter &amp; Grandes, 2005; Durbin &amp; Ng, 2005; Cavallo &amp; Valenzuela, 2010; Grandes, Panigo, &amp; Pasquini, 2010)"},"citationItems":[{"id":778,"uris":["http://zotero.org/users/338027/items/DNGQP4BB","http://zotero.org/users/338027/items/AVRGBW2A"],"uri":["http://zotero.org/users/338027/items/DNGQP4BB","http://zotero.org/users/338027/items/AVRGBW2A"]},{"id":261,"uris":["http://zotero.org/users/338027/items/KFEQQXUD"],"uri":["http://zotero.org/users/338027/items/KFEQQXUD"]},{"id":850,"uris":["http://zotero.org/users/338027/items/HVJIIZ8H"],"uri":["http://zotero.org/users/338027/items/HVJIIZ8H"]},{"id":408,"uris":["http://zotero.org/users/338027/items/VXXK6IWH"],"uri":["http://zotero.org/users/338027/items/VXXK6IWH"]}]} </w:instrText>
      </w:r>
      <w:r w:rsidR="00D3144F" w:rsidRPr="007E011B">
        <w:fldChar w:fldCharType="separate"/>
      </w:r>
      <w:r w:rsidR="0003776B">
        <w:t xml:space="preserve">(Peter &amp; </w:t>
      </w:r>
      <w:proofErr w:type="spellStart"/>
      <w:r w:rsidR="0003776B">
        <w:t>Grandes</w:t>
      </w:r>
      <w:proofErr w:type="spellEnd"/>
      <w:r w:rsidR="0003776B">
        <w:t>, 2005; Durbin &amp; Ng, 2005; Cavallo &amp; Valenzuela, 2010; Grandes, Panigo, &amp; Pasquini, 2010)</w:t>
      </w:r>
      <w:r w:rsidR="00D3144F" w:rsidRPr="007E011B">
        <w:fldChar w:fldCharType="end"/>
      </w:r>
      <w:r w:rsidR="00D3144F" w:rsidRPr="007E011B">
        <w:t xml:space="preserve"> without a final word.</w:t>
      </w:r>
      <w:r w:rsidR="00325C55" w:rsidRPr="007E011B">
        <w:t xml:space="preserve"> Moreover, literature from developed markets poses the same style of debate with results in different directions </w:t>
      </w:r>
      <w:r w:rsidR="00325C55" w:rsidRPr="007E011B">
        <w:fldChar w:fldCharType="begin"/>
      </w:r>
      <w:r w:rsidR="00DA7DDA">
        <w:instrText xml:space="preserve"> ADDIN ZOTERO_ITEM {"citationID":"2gph8rhvrt","properties":{"unsorted":true,"formattedCitation":"(Elton, Gruber, Agrawal, &amp; Mann, 2002; Durbin &amp; Ng, 2005; King &amp; Khang, 2005)","plainCitation":"(Elton, Gruber, Agrawal, &amp; Mann, 2002; Durbin &amp; Ng, 2005; King &amp; Khang, 2005)"},"citationItems":[{"id":186,"uris":["http://zotero.org/users/338027/items/ETTRTWXR"],"uri":["http://zotero.org/users/338027/items/ETTRTWXR"]},{"id":261,"uris":["http://zotero.org/users/338027/items/KFEQQXUD"],"uri":["http://zotero.org/users/338027/items/KFEQQXUD"]},{"id":782,"uris":["http://zotero.org/users/338027/items/DBKEP5S3"],"uri":["http://zotero.org/users/338027/items/DBKEP5S3"]}]} </w:instrText>
      </w:r>
      <w:r w:rsidR="00325C55" w:rsidRPr="007E011B">
        <w:fldChar w:fldCharType="separate"/>
      </w:r>
      <w:r w:rsidR="00325C55" w:rsidRPr="007E011B">
        <w:t>(Elton, Gruber, Agrawal, &amp; Mann, 2002; Durbin &amp; Ng, 2005; King &amp; Khang, 2005)</w:t>
      </w:r>
      <w:r w:rsidR="00325C55" w:rsidRPr="007E011B">
        <w:fldChar w:fldCharType="end"/>
      </w:r>
      <w:r w:rsidR="00325C55" w:rsidRPr="007E011B">
        <w:t>.</w:t>
      </w:r>
    </w:p>
    <w:p w14:paraId="2D64412C" w14:textId="20A2D450" w:rsidR="004F6697" w:rsidRDefault="004F6697" w:rsidP="00D520A3">
      <w:r>
        <w:t xml:space="preserve">On one hand, </w:t>
      </w:r>
      <w:r w:rsidR="009C43A6">
        <w:t>Elton et al. (2002)</w:t>
      </w:r>
      <w:r>
        <w:t xml:space="preserve"> found that corporate spreads are explained by three main factors: the expected default losses, local and federal taxes, and a risk premium due to the systematic risk.</w:t>
      </w:r>
      <w:r w:rsidR="00E16558">
        <w:t xml:space="preserve"> For the authors, the credit ratings just explain a little fraction of the spread; and the systematic risk is the same as in the stock market. However, regarding this latter factor, King &amp; Khan (2005) sustain that the Elton et al. work fails in the model specification and the systematic risk has a limited explicative power on the spread.</w:t>
      </w:r>
    </w:p>
    <w:p w14:paraId="21B7CAB8" w14:textId="794878E7" w:rsidR="00E16558" w:rsidRDefault="00E16558" w:rsidP="00D520A3">
      <w:r>
        <w:t>On the other hand, Durbin &amp; Ng (2005) show that the corporate risk is positively correlated with sovereign default risk. Additionally, they found weak evidence on the sector (industry) factors affecting the corporate spread.</w:t>
      </w:r>
    </w:p>
    <w:p w14:paraId="1F920EA5" w14:textId="1F0C9929" w:rsidR="00840A4C" w:rsidRDefault="00E16558" w:rsidP="00D520A3">
      <w:proofErr w:type="spellStart"/>
      <w:r>
        <w:t>Cavallo</w:t>
      </w:r>
      <w:proofErr w:type="spellEnd"/>
      <w:r>
        <w:t xml:space="preserve"> &amp; Valenzuela (2010) employ firm specific, country specific and industry specific variables. Moreover, they decompose the variance and found that the firm specific factors represent the biggest fraction of the overall variance.</w:t>
      </w:r>
      <w:r w:rsidR="00320ACF">
        <w:t xml:space="preserve"> In the same line, Klein &amp; </w:t>
      </w:r>
      <w:proofErr w:type="spellStart"/>
      <w:r w:rsidR="00320ACF">
        <w:t>Stellner</w:t>
      </w:r>
      <w:proofErr w:type="spellEnd"/>
      <w:r w:rsidR="00320ACF">
        <w:t xml:space="preserve"> </w:t>
      </w:r>
      <w:r w:rsidR="00320ACF">
        <w:fldChar w:fldCharType="begin"/>
      </w:r>
      <w:r w:rsidR="00DA7DDA">
        <w:instrText xml:space="preserve"> ADDIN ZOTERO_ITEM {"citationID":"idife7jb","properties":{"formattedCitation":"(2013)","plainCitation":"(2013)"},"citationItems":[{"id":880,"uris":["http://zotero.org/users/338027/items/U6R6STNR"],"uri":["http://zotero.org/users/338027/items/U6R6STNR"],"suppress-author":true}]} </w:instrText>
      </w:r>
      <w:r w:rsidR="00320ACF">
        <w:fldChar w:fldCharType="separate"/>
      </w:r>
      <w:r w:rsidR="00320ACF">
        <w:rPr>
          <w:noProof/>
        </w:rPr>
        <w:t>(2013)</w:t>
      </w:r>
      <w:r w:rsidR="00320ACF">
        <w:fldChar w:fldCharType="end"/>
      </w:r>
      <w:r w:rsidR="00320ACF">
        <w:t xml:space="preserve"> found a similar behavior, by using a different methodology, for some European countries. On the contrary, Peter &amp; </w:t>
      </w:r>
      <w:proofErr w:type="spellStart"/>
      <w:r w:rsidR="00320ACF">
        <w:t>Grandes</w:t>
      </w:r>
      <w:proofErr w:type="spellEnd"/>
      <w:r w:rsidR="00320ACF">
        <w:t xml:space="preserve"> (2005) and </w:t>
      </w:r>
      <w:proofErr w:type="spellStart"/>
      <w:r w:rsidR="00320ACF">
        <w:t>Grandes</w:t>
      </w:r>
      <w:proofErr w:type="spellEnd"/>
      <w:r w:rsidR="00320ACF">
        <w:t xml:space="preserve"> et al. (2010) argue that the sovereign risk is the most important determinant of corporate spread. They also test for the sovereign ceiling rule application and found up to 90% of rejection (e.g. Argentina).</w:t>
      </w:r>
    </w:p>
    <w:p w14:paraId="41489001" w14:textId="4C661403" w:rsidR="00840A4C" w:rsidRDefault="00840A4C" w:rsidP="00D520A3">
      <w:r>
        <w:t xml:space="preserve">Jaramillo &amp; Weber </w:t>
      </w:r>
      <w:r w:rsidR="00FF183C">
        <w:fldChar w:fldCharType="begin"/>
      </w:r>
      <w:r w:rsidR="00DA7DDA">
        <w:instrText xml:space="preserve"> ADDIN ZOTERO_ITEM {"citationID":"hmfm4qvhh","properties":{"formattedCitation":"(2013)","plainCitation":"(2013)"},"citationItems":[{"id":848,"uris":["http://zotero.org/users/338027/items/E72IJFDB"],"uri":["http://zotero.org/users/338027/items/E72IJFDB"],"suppress-author":true}]} </w:instrText>
      </w:r>
      <w:r w:rsidR="00FF183C">
        <w:fldChar w:fldCharType="separate"/>
      </w:r>
      <w:r w:rsidR="00FF183C">
        <w:rPr>
          <w:noProof/>
        </w:rPr>
        <w:t>(2013)</w:t>
      </w:r>
      <w:r w:rsidR="00FF183C">
        <w:fldChar w:fldCharType="end"/>
      </w:r>
      <w:r>
        <w:t xml:space="preserve"> </w:t>
      </w:r>
      <w:r w:rsidR="008C24C7">
        <w:t xml:space="preserve">use a sample of </w:t>
      </w:r>
      <w:r>
        <w:t>local bonds</w:t>
      </w:r>
      <w:r w:rsidR="008C24C7">
        <w:t xml:space="preserve"> and found that fiscal variables affect bond yields depending on the global risk aversion.</w:t>
      </w:r>
    </w:p>
    <w:p w14:paraId="69C71750" w14:textId="77777777" w:rsidR="00C17AE0" w:rsidRDefault="00C17AE0" w:rsidP="00D520A3"/>
    <w:p w14:paraId="15D6411D" w14:textId="3B7CC183" w:rsidR="00C17AE0" w:rsidRDefault="0041704E" w:rsidP="006670C0">
      <w:pPr>
        <w:pStyle w:val="Ttulo3"/>
      </w:pPr>
      <w:r>
        <w:t>A note on the</w:t>
      </w:r>
      <w:r w:rsidR="00C17AE0">
        <w:t xml:space="preserve"> </w:t>
      </w:r>
      <w:r w:rsidR="006670C0">
        <w:t xml:space="preserve">spread </w:t>
      </w:r>
      <w:r w:rsidR="008B314D">
        <w:t>estima</w:t>
      </w:r>
      <w:r w:rsidR="006670C0">
        <w:t>tion</w:t>
      </w:r>
    </w:p>
    <w:p w14:paraId="35D6ADBF" w14:textId="77777777" w:rsidR="006670C0" w:rsidRDefault="006670C0" w:rsidP="00D520A3"/>
    <w:p w14:paraId="6F692EAF" w14:textId="3A8FC3DA" w:rsidR="00EF06A7" w:rsidRDefault="00EF06A7" w:rsidP="00D520A3">
      <w:r>
        <w:t>M</w:t>
      </w:r>
      <w:r w:rsidR="00645AAA">
        <w:t>ost of the papers use</w:t>
      </w:r>
      <w:r w:rsidR="00EB52A7">
        <w:t xml:space="preserve"> a m</w:t>
      </w:r>
      <w:r>
        <w:t>atching</w:t>
      </w:r>
      <w:r w:rsidR="00EB52A7">
        <w:t xml:space="preserve"> metho</w:t>
      </w:r>
      <w:r w:rsidR="00645AAA">
        <w:t xml:space="preserve">dology to estimate the spread. Bonds are selected and matched by using the maturity date. Authors look for bonds with similar maturity and </w:t>
      </w:r>
      <w:r w:rsidR="00645AAA">
        <w:lastRenderedPageBreak/>
        <w:t>classified in the same category of risk. In this form, the spread is calculated by comparing similar bonds.</w:t>
      </w:r>
    </w:p>
    <w:p w14:paraId="4CA5FEE5" w14:textId="3682C5CF" w:rsidR="009E5343" w:rsidRDefault="00645AAA" w:rsidP="00D520A3">
      <w:r>
        <w:t xml:space="preserve">Elton et al. (2002) </w:t>
      </w:r>
      <w:r w:rsidR="009E5343">
        <w:t>state the importance of the term structure of the debt in order to calculate the spread. For these authors the spread must be calculated as the difference between the yield to maturity of a zero coupon corporate bond, and the same measure for a sovereign one. The spread is the difference between the spot rates. In this form, the influence</w:t>
      </w:r>
      <w:r w:rsidR="00496E0E">
        <w:t>s</w:t>
      </w:r>
      <w:r w:rsidR="009E5343">
        <w:t xml:space="preserve"> of the coupon rate and the term structure of the debt over the spread </w:t>
      </w:r>
      <w:r w:rsidR="00496E0E">
        <w:t>are</w:t>
      </w:r>
      <w:r w:rsidR="009E5343">
        <w:t xml:space="preserve"> controlled.</w:t>
      </w:r>
    </w:p>
    <w:p w14:paraId="3DE3B31D" w14:textId="732E6759" w:rsidR="007E011B" w:rsidRDefault="009E5343" w:rsidP="00D520A3">
      <w:r>
        <w:t xml:space="preserve">In order to avoid the problem stated by Elton et al. (2002), </w:t>
      </w:r>
      <w:proofErr w:type="spellStart"/>
      <w:r>
        <w:t>Cavallo</w:t>
      </w:r>
      <w:proofErr w:type="spellEnd"/>
      <w:r>
        <w:t xml:space="preserve"> &amp; Valenzuela </w:t>
      </w:r>
      <w:r w:rsidR="00243B04" w:rsidRPr="00243B04">
        <w:t>apply</w:t>
      </w:r>
      <w:r>
        <w:t xml:space="preserve"> the </w:t>
      </w:r>
      <w:r w:rsidR="00243B04">
        <w:t>Option</w:t>
      </w:r>
      <w:r>
        <w:t xml:space="preserve"> Adjusted Spread </w:t>
      </w:r>
      <w:r w:rsidR="00496E0E">
        <w:t>Analysis</w:t>
      </w:r>
      <w:r w:rsidR="00EA4C7B">
        <w:t xml:space="preserve"> </w:t>
      </w:r>
      <w:r w:rsidR="00CA3BE2">
        <w:t>–</w:t>
      </w:r>
      <w:r w:rsidR="00EF06A7">
        <w:t>OAS</w:t>
      </w:r>
      <w:r w:rsidR="005418BD" w:rsidRPr="002A542E">
        <w:rPr>
          <w:rStyle w:val="Refdenotaalpie"/>
        </w:rPr>
        <w:footnoteReference w:id="1"/>
      </w:r>
      <w:r w:rsidR="00CA3BE2">
        <w:t xml:space="preserve"> </w:t>
      </w:r>
      <w:r w:rsidR="005418BD">
        <w:fldChar w:fldCharType="begin"/>
      </w:r>
      <w:r w:rsidR="00DA7DDA">
        <w:instrText xml:space="preserve"> ADDIN ZOTERO_ITEM {"citationID":"hd6d2te4r","properties":{"formattedCitation":"(Miler, 2010)","plainCitation":"(Miler, 2010)"},"citationItems":[{"id":920,"uris":["http://zotero.org/users/338027/items/5XI8QU5P"],"uri":["http://zotero.org/users/338027/items/5XI8QU5P"]}]} </w:instrText>
      </w:r>
      <w:r w:rsidR="005418BD">
        <w:fldChar w:fldCharType="separate"/>
      </w:r>
      <w:r w:rsidR="005418BD">
        <w:rPr>
          <w:szCs w:val="24"/>
        </w:rPr>
        <w:t>(Miler, 2010)</w:t>
      </w:r>
      <w:r w:rsidR="005418BD">
        <w:fldChar w:fldCharType="end"/>
      </w:r>
      <w:r>
        <w:t xml:space="preserve">. </w:t>
      </w:r>
      <w:r w:rsidR="00496E0E">
        <w:t xml:space="preserve">It allows </w:t>
      </w:r>
      <w:r w:rsidR="00EA4C7B">
        <w:t>calculating the spread by using embedded options approach and controlling for potential pre-payments or changes in interest rates.</w:t>
      </w:r>
    </w:p>
    <w:p w14:paraId="08DECAED" w14:textId="186945DD" w:rsidR="009639CF" w:rsidRDefault="00197020" w:rsidP="009639CF">
      <w:r w:rsidRPr="0064525C">
        <w:rPr>
          <w:rStyle w:val="hps"/>
        </w:rPr>
        <w:t>Even though the</w:t>
      </w:r>
      <w:r w:rsidRPr="0064525C">
        <w:rPr>
          <w:rFonts w:eastAsia="Times New Roman"/>
        </w:rPr>
        <w:t xml:space="preserve"> </w:t>
      </w:r>
      <w:r w:rsidRPr="0064525C">
        <w:rPr>
          <w:rStyle w:val="hps"/>
        </w:rPr>
        <w:t>literature</w:t>
      </w:r>
      <w:r w:rsidRPr="0064525C">
        <w:rPr>
          <w:rFonts w:eastAsia="Times New Roman"/>
        </w:rPr>
        <w:t xml:space="preserve"> regarding </w:t>
      </w:r>
      <w:r w:rsidRPr="0064525C">
        <w:rPr>
          <w:rStyle w:val="hps"/>
        </w:rPr>
        <w:t>country risk</w:t>
      </w:r>
      <w:r w:rsidRPr="0064525C">
        <w:rPr>
          <w:rFonts w:eastAsia="Times New Roman"/>
        </w:rPr>
        <w:t xml:space="preserve"> </w:t>
      </w:r>
      <w:r w:rsidRPr="0064525C">
        <w:rPr>
          <w:rStyle w:val="hps"/>
        </w:rPr>
        <w:t>is</w:t>
      </w:r>
      <w:r w:rsidRPr="0064525C">
        <w:rPr>
          <w:rFonts w:eastAsia="Times New Roman"/>
        </w:rPr>
        <w:t xml:space="preserve"> </w:t>
      </w:r>
      <w:r w:rsidRPr="0064525C">
        <w:rPr>
          <w:rStyle w:val="hps"/>
        </w:rPr>
        <w:t>extensive</w:t>
      </w:r>
      <w:r w:rsidRPr="0064525C">
        <w:rPr>
          <w:rFonts w:eastAsia="Times New Roman"/>
        </w:rPr>
        <w:t xml:space="preserve">, it is not conclusive. Currently, </w:t>
      </w:r>
      <w:r>
        <w:rPr>
          <w:rFonts w:eastAsia="Times New Roman"/>
        </w:rPr>
        <w:t>there is not</w:t>
      </w:r>
      <w:r w:rsidRPr="0064525C">
        <w:rPr>
          <w:rStyle w:val="hps"/>
        </w:rPr>
        <w:t xml:space="preserve"> a</w:t>
      </w:r>
      <w:r w:rsidRPr="0064525C">
        <w:rPr>
          <w:rFonts w:eastAsia="Times New Roman"/>
        </w:rPr>
        <w:t xml:space="preserve"> </w:t>
      </w:r>
      <w:r w:rsidRPr="0064525C">
        <w:rPr>
          <w:rStyle w:val="hps"/>
        </w:rPr>
        <w:t>final</w:t>
      </w:r>
      <w:r w:rsidRPr="0064525C">
        <w:rPr>
          <w:rFonts w:eastAsia="Times New Roman"/>
        </w:rPr>
        <w:t xml:space="preserve"> </w:t>
      </w:r>
      <w:r w:rsidRPr="0064525C">
        <w:rPr>
          <w:rStyle w:val="hps"/>
        </w:rPr>
        <w:t>approach</w:t>
      </w:r>
      <w:r w:rsidRPr="0064525C">
        <w:rPr>
          <w:rFonts w:eastAsia="Times New Roman"/>
        </w:rPr>
        <w:t xml:space="preserve"> </w:t>
      </w:r>
      <w:r w:rsidRPr="0064525C">
        <w:rPr>
          <w:rStyle w:val="hps"/>
        </w:rPr>
        <w:t>to the inclusion</w:t>
      </w:r>
      <w:r w:rsidRPr="0064525C">
        <w:rPr>
          <w:rFonts w:eastAsia="Times New Roman"/>
        </w:rPr>
        <w:t xml:space="preserve"> </w:t>
      </w:r>
      <w:r w:rsidRPr="0064525C">
        <w:rPr>
          <w:rStyle w:val="hps"/>
        </w:rPr>
        <w:t xml:space="preserve">of country risk </w:t>
      </w:r>
      <w:r>
        <w:rPr>
          <w:rStyle w:val="hps"/>
        </w:rPr>
        <w:t xml:space="preserve">premium </w:t>
      </w:r>
      <w:r w:rsidRPr="0064525C">
        <w:rPr>
          <w:rStyle w:val="hps"/>
        </w:rPr>
        <w:t>in</w:t>
      </w:r>
      <w:r w:rsidRPr="0064525C">
        <w:rPr>
          <w:rFonts w:eastAsia="Times New Roman"/>
        </w:rPr>
        <w:t xml:space="preserve"> </w:t>
      </w:r>
      <w:r w:rsidRPr="0064525C">
        <w:rPr>
          <w:rStyle w:val="hps"/>
        </w:rPr>
        <w:t xml:space="preserve">valuation </w:t>
      </w:r>
      <w:r>
        <w:rPr>
          <w:rStyle w:val="hps"/>
        </w:rPr>
        <w:t xml:space="preserve">debt instruments. In a previous work </w:t>
      </w:r>
      <w:proofErr w:type="spellStart"/>
      <w:r w:rsidR="002A542E">
        <w:rPr>
          <w:rStyle w:val="hps"/>
        </w:rPr>
        <w:t>Garay</w:t>
      </w:r>
      <w:proofErr w:type="spellEnd"/>
      <w:r w:rsidR="002A542E">
        <w:rPr>
          <w:rStyle w:val="hps"/>
        </w:rPr>
        <w:t xml:space="preserve"> et al. </w:t>
      </w:r>
      <w:r w:rsidR="002A542E">
        <w:rPr>
          <w:rStyle w:val="hps"/>
        </w:rPr>
        <w:fldChar w:fldCharType="begin"/>
      </w:r>
      <w:r w:rsidR="00DA7DDA">
        <w:rPr>
          <w:rStyle w:val="hps"/>
        </w:rPr>
        <w:instrText xml:space="preserve"> ADDIN ZOTERO_ITEM {"citationID":"2jh0k22sk4","properties":{"formattedCitation":"(2014)","plainCitation":"(2014)"},"citationItems":[{"id":918,"uris":["http://zotero.org/users/338027/items/3X4444CI"],"uri":["http://zotero.org/users/338027/items/3X4444CI"],"suppress-author":true}]} </w:instrText>
      </w:r>
      <w:r w:rsidR="002A542E">
        <w:rPr>
          <w:rStyle w:val="hps"/>
        </w:rPr>
        <w:fldChar w:fldCharType="separate"/>
      </w:r>
      <w:r w:rsidR="002A542E">
        <w:rPr>
          <w:rStyle w:val="hps"/>
          <w:noProof/>
        </w:rPr>
        <w:t>(2014)</w:t>
      </w:r>
      <w:r w:rsidR="002A542E">
        <w:rPr>
          <w:rStyle w:val="hps"/>
        </w:rPr>
        <w:fldChar w:fldCharType="end"/>
      </w:r>
      <w:r>
        <w:rPr>
          <w:rStyle w:val="hps"/>
        </w:rPr>
        <w:t xml:space="preserve"> found that there are some country and industry effects, not satisfactorily explained in current literature on the treatment of country risk in firm’s cost of equity valuation. In </w:t>
      </w:r>
      <w:r w:rsidRPr="0064525C">
        <w:t>the literature related to country risk adjustments to the valuation model</w:t>
      </w:r>
      <w:r>
        <w:t>s,</w:t>
      </w:r>
      <w:r w:rsidRPr="0064525C">
        <w:t xml:space="preserve"> </w:t>
      </w:r>
      <w:r>
        <w:t>it is assumed</w:t>
      </w:r>
      <w:r w:rsidRPr="0064525C">
        <w:t xml:space="preserve"> that country risk is explained primarily by the spread of a sovereign debt from another sovereign debt that is risk free (usually US T-Bonds).</w:t>
      </w:r>
      <w:r>
        <w:t xml:space="preserve"> We consider that a more important source of country risk could be found from the spread between corporate and sovereign debt.</w:t>
      </w:r>
    </w:p>
    <w:p w14:paraId="2F5A1784" w14:textId="7A2C5629" w:rsidR="00EF6D6A" w:rsidRDefault="00EF6D6A" w:rsidP="009639CF"/>
    <w:p w14:paraId="661B9BD2" w14:textId="77777777" w:rsidR="009639CF" w:rsidRPr="009639CF" w:rsidRDefault="009639CF" w:rsidP="009639CF"/>
    <w:p w14:paraId="635B473C" w14:textId="1152FF06" w:rsidR="007E011B" w:rsidRPr="007E011B" w:rsidRDefault="007E011B" w:rsidP="007E011B">
      <w:pPr>
        <w:pStyle w:val="Ttulo1"/>
        <w:rPr>
          <w:lang w:val="en-US"/>
        </w:rPr>
      </w:pPr>
      <w:r w:rsidRPr="007E011B">
        <w:rPr>
          <w:lang w:val="en-US"/>
        </w:rPr>
        <w:t>Data and methodology</w:t>
      </w:r>
    </w:p>
    <w:p w14:paraId="3FC8B19F" w14:textId="77777777" w:rsidR="007E011B" w:rsidRDefault="007E011B" w:rsidP="00D520A3"/>
    <w:p w14:paraId="1781ECE7" w14:textId="30544F38" w:rsidR="00404186" w:rsidRDefault="006670C0" w:rsidP="000F1667">
      <w:pPr>
        <w:rPr>
          <w:lang w:eastAsia="es-CO"/>
        </w:rPr>
      </w:pPr>
      <w:r>
        <w:t>Provided that there are different classifications of emerging markets, we decide to use</w:t>
      </w:r>
      <w:r w:rsidR="000F1667">
        <w:t xml:space="preserve"> the MSCI emerging markets list, since this is the sou</w:t>
      </w:r>
      <w:r w:rsidR="00D762BF">
        <w:t xml:space="preserve">rce of market data we access. </w:t>
      </w:r>
      <w:r w:rsidR="00FA1398">
        <w:t>It</w:t>
      </w:r>
      <w:r w:rsidR="00E701E6">
        <w:t>s constitu</w:t>
      </w:r>
      <w:r w:rsidR="00FA1398">
        <w:t>ents</w:t>
      </w:r>
      <w:r w:rsidR="00E701E6">
        <w:t xml:space="preserve"> </w:t>
      </w:r>
      <w:r w:rsidR="00FA1398">
        <w:t>are</w:t>
      </w:r>
      <w:r w:rsidR="00E701E6">
        <w:t xml:space="preserve"> 21 countries: </w:t>
      </w:r>
      <w:r w:rsidR="000F1667">
        <w:t>5</w:t>
      </w:r>
      <w:r w:rsidR="00E701E6">
        <w:t xml:space="preserve"> from Latin America, </w:t>
      </w:r>
      <w:r w:rsidR="00FA1398">
        <w:t>8 from Asia, 5 from Europe and 3 from Africa.</w:t>
      </w:r>
      <w:r w:rsidR="00404186">
        <w:t xml:space="preserve"> They are: </w:t>
      </w:r>
      <w:r w:rsidR="000F1667">
        <w:rPr>
          <w:lang w:eastAsia="es-CO"/>
        </w:rPr>
        <w:t>Brazil, Chile,</w:t>
      </w:r>
      <w:r w:rsidR="000F1667" w:rsidRPr="000F1667">
        <w:rPr>
          <w:lang w:eastAsia="es-CO"/>
        </w:rPr>
        <w:t xml:space="preserve"> </w:t>
      </w:r>
      <w:r w:rsidR="000F1667">
        <w:rPr>
          <w:lang w:eastAsia="es-CO"/>
        </w:rPr>
        <w:t>China,</w:t>
      </w:r>
      <w:r w:rsidR="000F1667" w:rsidRPr="000F1667">
        <w:rPr>
          <w:lang w:eastAsia="es-CO"/>
        </w:rPr>
        <w:t xml:space="preserve"> </w:t>
      </w:r>
      <w:r w:rsidR="000F1667">
        <w:rPr>
          <w:lang w:eastAsia="es-CO"/>
        </w:rPr>
        <w:t>Colombia,</w:t>
      </w:r>
      <w:r w:rsidR="000F1667" w:rsidRPr="000F1667">
        <w:rPr>
          <w:lang w:eastAsia="es-CO"/>
        </w:rPr>
        <w:t xml:space="preserve"> </w:t>
      </w:r>
      <w:r w:rsidR="000F1667">
        <w:rPr>
          <w:lang w:eastAsia="es-CO"/>
        </w:rPr>
        <w:t>Czech Republic,</w:t>
      </w:r>
      <w:r w:rsidR="000F1667" w:rsidRPr="000F1667">
        <w:rPr>
          <w:lang w:eastAsia="es-CO"/>
        </w:rPr>
        <w:t xml:space="preserve"> </w:t>
      </w:r>
      <w:r w:rsidR="000F1667">
        <w:rPr>
          <w:lang w:eastAsia="es-CO"/>
        </w:rPr>
        <w:t>Egypt,</w:t>
      </w:r>
      <w:r w:rsidR="000F1667" w:rsidRPr="000F1667">
        <w:rPr>
          <w:lang w:eastAsia="es-CO"/>
        </w:rPr>
        <w:t xml:space="preserve"> </w:t>
      </w:r>
      <w:r w:rsidR="000F1667">
        <w:rPr>
          <w:lang w:eastAsia="es-CO"/>
        </w:rPr>
        <w:t>Hungary,</w:t>
      </w:r>
      <w:r w:rsidR="000F1667" w:rsidRPr="000F1667">
        <w:rPr>
          <w:lang w:eastAsia="es-CO"/>
        </w:rPr>
        <w:t xml:space="preserve"> </w:t>
      </w:r>
      <w:r w:rsidR="000F1667">
        <w:rPr>
          <w:lang w:eastAsia="es-CO"/>
        </w:rPr>
        <w:lastRenderedPageBreak/>
        <w:t>India, Indonesia, Korea, Malaysia,</w:t>
      </w:r>
      <w:r w:rsidR="000F1667" w:rsidRPr="000F1667">
        <w:rPr>
          <w:lang w:eastAsia="es-CO"/>
        </w:rPr>
        <w:t xml:space="preserve"> </w:t>
      </w:r>
      <w:r w:rsidR="000F1667">
        <w:rPr>
          <w:lang w:eastAsia="es-CO"/>
        </w:rPr>
        <w:t>Mexico,</w:t>
      </w:r>
      <w:r w:rsidR="000F1667" w:rsidRPr="000F1667">
        <w:rPr>
          <w:lang w:eastAsia="es-CO"/>
        </w:rPr>
        <w:t xml:space="preserve"> </w:t>
      </w:r>
      <w:r w:rsidR="000F1667">
        <w:rPr>
          <w:lang w:eastAsia="es-CO"/>
        </w:rPr>
        <w:t>Morocco, Peru, Philippines,</w:t>
      </w:r>
      <w:r w:rsidR="000F1667" w:rsidRPr="000F1667">
        <w:rPr>
          <w:lang w:eastAsia="es-CO"/>
        </w:rPr>
        <w:t xml:space="preserve"> </w:t>
      </w:r>
      <w:r w:rsidR="000F1667">
        <w:rPr>
          <w:lang w:eastAsia="es-CO"/>
        </w:rPr>
        <w:t>Poland,</w:t>
      </w:r>
      <w:r w:rsidR="000F1667" w:rsidRPr="000F1667">
        <w:rPr>
          <w:lang w:eastAsia="es-CO"/>
        </w:rPr>
        <w:t xml:space="preserve"> </w:t>
      </w:r>
      <w:r w:rsidR="000F1667">
        <w:rPr>
          <w:lang w:eastAsia="es-CO"/>
        </w:rPr>
        <w:t>Russia,</w:t>
      </w:r>
      <w:r w:rsidR="000F1667" w:rsidRPr="000F1667">
        <w:rPr>
          <w:lang w:eastAsia="es-CO"/>
        </w:rPr>
        <w:t xml:space="preserve"> </w:t>
      </w:r>
      <w:r w:rsidR="000F1667">
        <w:rPr>
          <w:lang w:eastAsia="es-CO"/>
        </w:rPr>
        <w:t>South Africa,</w:t>
      </w:r>
      <w:r w:rsidR="000F1667" w:rsidRPr="000F1667">
        <w:rPr>
          <w:lang w:eastAsia="es-CO"/>
        </w:rPr>
        <w:t xml:space="preserve"> </w:t>
      </w:r>
      <w:r w:rsidR="000F1667">
        <w:rPr>
          <w:lang w:eastAsia="es-CO"/>
        </w:rPr>
        <w:t>Taiwan, Thailand and</w:t>
      </w:r>
      <w:r w:rsidR="000F1667" w:rsidRPr="000F1667">
        <w:rPr>
          <w:lang w:eastAsia="es-CO"/>
        </w:rPr>
        <w:t xml:space="preserve"> </w:t>
      </w:r>
      <w:r w:rsidR="000F1667">
        <w:rPr>
          <w:lang w:eastAsia="es-CO"/>
        </w:rPr>
        <w:t>Turkey.</w:t>
      </w:r>
    </w:p>
    <w:p w14:paraId="57C4E021" w14:textId="72C2EBBB" w:rsidR="006F393F" w:rsidRDefault="006E2169" w:rsidP="000F1667">
      <w:pPr>
        <w:rPr>
          <w:lang w:eastAsia="es-CO"/>
        </w:rPr>
      </w:pPr>
      <w:r>
        <w:rPr>
          <w:lang w:eastAsia="es-CO"/>
        </w:rPr>
        <w:t>We first</w:t>
      </w:r>
      <w:r w:rsidR="003B7FAB">
        <w:rPr>
          <w:lang w:eastAsia="es-CO"/>
        </w:rPr>
        <w:t xml:space="preserve"> include all the corporate bonds issued in US Dollars, to allow direct comparisons. W</w:t>
      </w:r>
      <w:r>
        <w:rPr>
          <w:lang w:eastAsia="es-CO"/>
        </w:rPr>
        <w:t>h</w:t>
      </w:r>
      <w:r w:rsidR="003B7FAB">
        <w:rPr>
          <w:lang w:eastAsia="es-CO"/>
        </w:rPr>
        <w:t>e</w:t>
      </w:r>
      <w:r>
        <w:rPr>
          <w:lang w:eastAsia="es-CO"/>
        </w:rPr>
        <w:t>n</w:t>
      </w:r>
      <w:r w:rsidR="003B7FAB">
        <w:rPr>
          <w:lang w:eastAsia="es-CO"/>
        </w:rPr>
        <w:t xml:space="preserve"> exclude</w:t>
      </w:r>
      <w:r>
        <w:rPr>
          <w:lang w:eastAsia="es-CO"/>
        </w:rPr>
        <w:t>d</w:t>
      </w:r>
      <w:r w:rsidR="003B7FAB">
        <w:rPr>
          <w:lang w:eastAsia="es-CO"/>
        </w:rPr>
        <w:t xml:space="preserve"> </w:t>
      </w:r>
      <w:r w:rsidR="00FA7AFA">
        <w:rPr>
          <w:lang w:eastAsia="es-CO"/>
        </w:rPr>
        <w:t>only those bonds without special redemption covenants (e.g. callable, sinkable) or varia</w:t>
      </w:r>
      <w:r>
        <w:rPr>
          <w:lang w:eastAsia="es-CO"/>
        </w:rPr>
        <w:t>ble coupons (e.g. index linked), we obtain around 4.200 corporate bonds, active and matured.</w:t>
      </w:r>
    </w:p>
    <w:p w14:paraId="3ADA59D3" w14:textId="6D2B54DA" w:rsidR="006E2169" w:rsidRDefault="006F393F" w:rsidP="000F1667">
      <w:pPr>
        <w:rPr>
          <w:lang w:eastAsia="es-CO"/>
        </w:rPr>
      </w:pPr>
      <w:r>
        <w:rPr>
          <w:lang w:eastAsia="es-CO"/>
        </w:rPr>
        <w:t>We retrieve the data of sovereign and</w:t>
      </w:r>
      <w:r w:rsidR="00FA7AFA">
        <w:rPr>
          <w:lang w:eastAsia="es-CO"/>
        </w:rPr>
        <w:t xml:space="preserve"> corporate bonds from Bloomberg</w:t>
      </w:r>
      <w:r>
        <w:rPr>
          <w:lang w:eastAsia="es-CO"/>
        </w:rPr>
        <w:t>. We employed the Yield Adjusted Spread (YAS) calculated in this database</w:t>
      </w:r>
      <w:r w:rsidR="00684282">
        <w:rPr>
          <w:lang w:eastAsia="es-CO"/>
        </w:rPr>
        <w:t>.</w:t>
      </w:r>
      <w:r w:rsidR="00141971">
        <w:rPr>
          <w:lang w:eastAsia="es-CO"/>
        </w:rPr>
        <w:t xml:space="preserve"> </w:t>
      </w:r>
      <w:r w:rsidR="006E2169">
        <w:rPr>
          <w:rStyle w:val="hps"/>
          <w:lang w:val="en"/>
        </w:rPr>
        <w:t>YAS</w:t>
      </w:r>
      <w:r w:rsidR="006E2169">
        <w:rPr>
          <w:lang w:val="en"/>
        </w:rPr>
        <w:t xml:space="preserve"> </w:t>
      </w:r>
      <w:r w:rsidR="006E2169">
        <w:rPr>
          <w:rStyle w:val="hps"/>
          <w:lang w:val="en"/>
        </w:rPr>
        <w:t>allows</w:t>
      </w:r>
      <w:r w:rsidR="006E2169">
        <w:rPr>
          <w:lang w:val="en"/>
        </w:rPr>
        <w:t xml:space="preserve"> to </w:t>
      </w:r>
      <w:r w:rsidR="006E2169">
        <w:rPr>
          <w:rStyle w:val="hps"/>
          <w:lang w:val="en"/>
        </w:rPr>
        <w:t>value a</w:t>
      </w:r>
      <w:r w:rsidR="006E2169">
        <w:rPr>
          <w:lang w:val="en"/>
        </w:rPr>
        <w:t xml:space="preserve"> </w:t>
      </w:r>
      <w:r w:rsidR="006E2169">
        <w:rPr>
          <w:rStyle w:val="hps"/>
          <w:lang w:val="en"/>
        </w:rPr>
        <w:t>fixed income security</w:t>
      </w:r>
      <w:r w:rsidR="006E2169">
        <w:rPr>
          <w:lang w:val="en"/>
        </w:rPr>
        <w:t xml:space="preserve"> </w:t>
      </w:r>
      <w:r w:rsidR="006E2169">
        <w:rPr>
          <w:rStyle w:val="hps"/>
          <w:lang w:val="en"/>
        </w:rPr>
        <w:t>based</w:t>
      </w:r>
      <w:r w:rsidR="006E2169">
        <w:rPr>
          <w:lang w:val="en"/>
        </w:rPr>
        <w:t xml:space="preserve"> </w:t>
      </w:r>
      <w:r w:rsidR="006E2169">
        <w:rPr>
          <w:rStyle w:val="hps"/>
          <w:lang w:val="en"/>
        </w:rPr>
        <w:t>on market data</w:t>
      </w:r>
      <w:r w:rsidR="006E2169">
        <w:rPr>
          <w:lang w:val="en"/>
        </w:rPr>
        <w:t xml:space="preserve"> </w:t>
      </w:r>
      <w:r w:rsidR="006E2169">
        <w:rPr>
          <w:rStyle w:val="hps"/>
          <w:lang w:val="en"/>
        </w:rPr>
        <w:t>and calculates</w:t>
      </w:r>
      <w:r w:rsidR="006E2169">
        <w:rPr>
          <w:lang w:val="en"/>
        </w:rPr>
        <w:t xml:space="preserve"> </w:t>
      </w:r>
      <w:r w:rsidR="006E2169">
        <w:rPr>
          <w:rStyle w:val="hps"/>
          <w:lang w:val="en"/>
        </w:rPr>
        <w:t>spreads</w:t>
      </w:r>
      <w:r w:rsidR="006E2169">
        <w:rPr>
          <w:lang w:val="en"/>
        </w:rPr>
        <w:t xml:space="preserve"> </w:t>
      </w:r>
      <w:r w:rsidR="006E2169">
        <w:rPr>
          <w:rStyle w:val="hps"/>
          <w:lang w:val="en"/>
        </w:rPr>
        <w:t>to a</w:t>
      </w:r>
      <w:r w:rsidR="006E2169">
        <w:rPr>
          <w:lang w:val="en"/>
        </w:rPr>
        <w:t xml:space="preserve"> </w:t>
      </w:r>
      <w:r w:rsidR="006E2169">
        <w:rPr>
          <w:rStyle w:val="hps"/>
          <w:lang w:val="en"/>
        </w:rPr>
        <w:t>benchmark</w:t>
      </w:r>
      <w:r w:rsidR="006E2169">
        <w:rPr>
          <w:lang w:val="en"/>
        </w:rPr>
        <w:t xml:space="preserve"> issuing </w:t>
      </w:r>
      <w:r w:rsidR="006E2169">
        <w:rPr>
          <w:rStyle w:val="hps"/>
          <w:lang w:val="en"/>
        </w:rPr>
        <w:t>or</w:t>
      </w:r>
      <w:r w:rsidR="006E2169">
        <w:rPr>
          <w:lang w:val="en"/>
        </w:rPr>
        <w:t xml:space="preserve"> </w:t>
      </w:r>
      <w:r w:rsidR="006E2169">
        <w:rPr>
          <w:rStyle w:val="hps"/>
          <w:lang w:val="en"/>
        </w:rPr>
        <w:t>benchmark</w:t>
      </w:r>
      <w:r w:rsidR="006E2169">
        <w:rPr>
          <w:lang w:val="en"/>
        </w:rPr>
        <w:t xml:space="preserve"> </w:t>
      </w:r>
      <w:r w:rsidR="006E2169">
        <w:rPr>
          <w:rStyle w:val="hps"/>
          <w:lang w:val="en"/>
        </w:rPr>
        <w:t>curve</w:t>
      </w:r>
      <w:r w:rsidR="006E2169">
        <w:rPr>
          <w:lang w:val="en"/>
        </w:rPr>
        <w:t>.</w:t>
      </w:r>
      <w:r w:rsidR="00A27827">
        <w:rPr>
          <w:lang w:val="en"/>
        </w:rPr>
        <w:t xml:space="preserve"> This tool interpolates the spread against a benchmark curve of a selected corporate bond.</w:t>
      </w:r>
    </w:p>
    <w:p w14:paraId="3BF06909" w14:textId="65B4B4EA" w:rsidR="00141971" w:rsidRDefault="00141971" w:rsidP="000F1667">
      <w:r>
        <w:rPr>
          <w:lang w:eastAsia="es-CO"/>
        </w:rPr>
        <w:t xml:space="preserve">By </w:t>
      </w:r>
      <w:r w:rsidR="009D25CD">
        <w:t xml:space="preserve">using the YAS approach to calculate the spread we avoid the problems of matching bonds in the countries of our sample. Previous works have presented problems in matching bonds, due to the scarce number of issues in foreign currency in some countries, and the low probability to find instruments with similar maturities in the same category of risk (Peter &amp; </w:t>
      </w:r>
      <w:proofErr w:type="spellStart"/>
      <w:r w:rsidR="009D25CD">
        <w:t>Grandes</w:t>
      </w:r>
      <w:proofErr w:type="spellEnd"/>
      <w:r w:rsidR="009D25CD">
        <w:t xml:space="preserve">, </w:t>
      </w:r>
      <w:r w:rsidR="009D25CD" w:rsidRPr="00197020">
        <w:t>2005)</w:t>
      </w:r>
      <w:r w:rsidR="009D25CD">
        <w:t>.</w:t>
      </w:r>
    </w:p>
    <w:p w14:paraId="326316E6" w14:textId="5A925714" w:rsidR="00A27827" w:rsidRDefault="00A27827" w:rsidP="000F1667">
      <w:pPr>
        <w:rPr>
          <w:lang w:eastAsia="es-CO"/>
        </w:rPr>
      </w:pPr>
      <w:r>
        <w:t xml:space="preserve">We finally obtain data for 744 corporate bonds in 17 emerging markets. We retrieve information on the benchmark spread from 2004 to mid-2014, with quarterly frequency. Additional information on the </w:t>
      </w:r>
      <w:proofErr w:type="gramStart"/>
      <w:r>
        <w:t xml:space="preserve">issuer </w:t>
      </w:r>
      <w:r w:rsidR="006F319C">
        <w:t xml:space="preserve"> and</w:t>
      </w:r>
      <w:proofErr w:type="gramEnd"/>
      <w:r w:rsidR="006F319C">
        <w:t xml:space="preserve"> macroeconomics </w:t>
      </w:r>
      <w:r>
        <w:t xml:space="preserve">was retrieved from </w:t>
      </w:r>
      <w:proofErr w:type="spellStart"/>
      <w:r>
        <w:t>Datastream</w:t>
      </w:r>
      <w:proofErr w:type="spellEnd"/>
      <w:r>
        <w:t xml:space="preserve"> for the same period.</w:t>
      </w:r>
    </w:p>
    <w:p w14:paraId="1012823E" w14:textId="77777777" w:rsidR="00335F30" w:rsidRDefault="00335F30" w:rsidP="000F1667">
      <w:pPr>
        <w:rPr>
          <w:lang w:eastAsia="es-CO"/>
        </w:rPr>
      </w:pPr>
    </w:p>
    <w:p w14:paraId="7162492D" w14:textId="77777777" w:rsidR="00CD0DF7" w:rsidRDefault="00CD0DF7" w:rsidP="00CD0DF7"/>
    <w:p w14:paraId="37FE9471" w14:textId="7E9EB3D6" w:rsidR="00CD0DF7" w:rsidRPr="00111D74" w:rsidRDefault="00111D74" w:rsidP="00CD0DF7">
      <w:pPr>
        <w:pStyle w:val="Ttulo2"/>
        <w:rPr>
          <w:lang w:val="en-US"/>
        </w:rPr>
      </w:pPr>
      <w:r w:rsidRPr="00111D74">
        <w:rPr>
          <w:lang w:val="en-US"/>
        </w:rPr>
        <w:t>Model and v</w:t>
      </w:r>
      <w:r w:rsidR="00CD0DF7" w:rsidRPr="00111D74">
        <w:rPr>
          <w:lang w:val="en-US"/>
        </w:rPr>
        <w:t>ariables</w:t>
      </w:r>
    </w:p>
    <w:p w14:paraId="35446A9B" w14:textId="77777777" w:rsidR="00CD0DF7" w:rsidRPr="00CD0DF7" w:rsidRDefault="00CD0DF7" w:rsidP="00CD0DF7"/>
    <w:p w14:paraId="172AAD4A" w14:textId="66C01E25" w:rsidR="00670645" w:rsidRDefault="00FA1F89" w:rsidP="000F1667">
      <w:pPr>
        <w:rPr>
          <w:lang w:eastAsia="es-CO"/>
        </w:rPr>
      </w:pPr>
      <w:r>
        <w:rPr>
          <w:lang w:eastAsia="es-CO"/>
        </w:rPr>
        <w:t>Descriptive statistics indicates that the average of the spread against a benchmark is around 244 basis points (</w:t>
      </w:r>
      <w:proofErr w:type="spellStart"/>
      <w:r>
        <w:rPr>
          <w:lang w:eastAsia="es-CO"/>
        </w:rPr>
        <w:t>bp</w:t>
      </w:r>
      <w:proofErr w:type="spellEnd"/>
      <w:r>
        <w:rPr>
          <w:lang w:eastAsia="es-CO"/>
        </w:rPr>
        <w:t>)</w:t>
      </w:r>
      <w:r w:rsidR="000043C0">
        <w:rPr>
          <w:lang w:eastAsia="es-CO"/>
        </w:rPr>
        <w:t>.</w:t>
      </w:r>
      <w:r w:rsidR="006F319C">
        <w:rPr>
          <w:lang w:eastAsia="es-CO"/>
        </w:rPr>
        <w:t xml:space="preserve"> This variable exhibits a large standard deviation for pooled data, near 270 bb, similar to between standard deviation of 260 </w:t>
      </w:r>
      <w:proofErr w:type="spellStart"/>
      <w:r w:rsidR="006F319C">
        <w:rPr>
          <w:lang w:eastAsia="es-CO"/>
        </w:rPr>
        <w:t>bp</w:t>
      </w:r>
      <w:proofErr w:type="spellEnd"/>
      <w:r w:rsidR="006F319C">
        <w:rPr>
          <w:lang w:eastAsia="es-CO"/>
        </w:rPr>
        <w:t xml:space="preserve">, in contrast with within standard deviation of around 70 </w:t>
      </w:r>
      <w:proofErr w:type="spellStart"/>
      <w:r w:rsidR="006F319C">
        <w:rPr>
          <w:lang w:eastAsia="es-CO"/>
        </w:rPr>
        <w:t>bp.</w:t>
      </w:r>
      <w:proofErr w:type="spellEnd"/>
      <w:r w:rsidR="006F319C">
        <w:rPr>
          <w:lang w:eastAsia="es-CO"/>
        </w:rPr>
        <w:t xml:space="preserve"> From descriptive statistics it is interesting to find negative minimum values, which indicates that some of the corporates in our dataset do not accomplish the ‘sovereign ceiling rule’. On the other hand, some of the bonds show spreads </w:t>
      </w:r>
      <w:r w:rsidR="006F319C">
        <w:rPr>
          <w:lang w:eastAsia="es-CO"/>
        </w:rPr>
        <w:lastRenderedPageBreak/>
        <w:t xml:space="preserve">more than 4000 </w:t>
      </w:r>
      <w:proofErr w:type="spellStart"/>
      <w:r w:rsidR="006F319C">
        <w:rPr>
          <w:lang w:eastAsia="es-CO"/>
        </w:rPr>
        <w:t>bp</w:t>
      </w:r>
      <w:proofErr w:type="spellEnd"/>
      <w:r w:rsidR="006F319C">
        <w:rPr>
          <w:lang w:eastAsia="es-CO"/>
        </w:rPr>
        <w:t>; a huge number that reflects deep differences in terms of risk faced for investors of those species.</w:t>
      </w:r>
      <w:r w:rsidR="009641ED">
        <w:rPr>
          <w:lang w:eastAsia="es-CO"/>
        </w:rPr>
        <w:t xml:space="preserve"> Results are separated by country to have more complete idea on the data (see table 1).</w:t>
      </w:r>
    </w:p>
    <w:p w14:paraId="025740F2" w14:textId="77777777" w:rsidR="00D05275" w:rsidRDefault="00D05275" w:rsidP="000F1667">
      <w:pPr>
        <w:rPr>
          <w:lang w:eastAsia="es-CO"/>
        </w:rPr>
      </w:pPr>
    </w:p>
    <w:p w14:paraId="47B34BC1" w14:textId="009C2C2C" w:rsidR="00D05275" w:rsidRDefault="00D05275" w:rsidP="00D05275">
      <w:pPr>
        <w:jc w:val="center"/>
        <w:rPr>
          <w:lang w:eastAsia="es-CO"/>
        </w:rPr>
      </w:pPr>
      <w:r>
        <w:rPr>
          <w:lang w:eastAsia="es-CO"/>
        </w:rPr>
        <w:t>Table 1 about here</w:t>
      </w:r>
    </w:p>
    <w:p w14:paraId="686336CA" w14:textId="77777777" w:rsidR="00D05275" w:rsidRDefault="00D05275" w:rsidP="00D05275">
      <w:pPr>
        <w:jc w:val="center"/>
        <w:rPr>
          <w:lang w:eastAsia="es-CO"/>
        </w:rPr>
      </w:pPr>
    </w:p>
    <w:p w14:paraId="35E400F2" w14:textId="7D801411" w:rsidR="00E930EA" w:rsidRDefault="00E930EA" w:rsidP="000F1667">
      <w:pPr>
        <w:rPr>
          <w:lang w:eastAsia="es-CO"/>
        </w:rPr>
      </w:pPr>
      <w:r>
        <w:rPr>
          <w:lang w:eastAsia="es-CO"/>
        </w:rPr>
        <w:t>Our model uses as dependent variable the benchmark spread and use as independent variables a set of characteristics of the issue and the issuer. The model is defined as follows:</w:t>
      </w:r>
    </w:p>
    <w:p w14:paraId="233E75A3" w14:textId="109ADB12" w:rsidR="00E930EA" w:rsidRPr="00EA7AFE" w:rsidRDefault="00E930EA" w:rsidP="00E930EA">
      <w:pPr>
        <w:rPr>
          <w:lang w:eastAsia="es-CO"/>
        </w:rPr>
      </w:pPr>
      <m:oMathPara>
        <m:oMath>
          <m:r>
            <w:rPr>
              <w:rFonts w:ascii="Cambria Math" w:hAnsi="Cambria Math"/>
              <w:lang w:eastAsia="es-CO"/>
            </w:rPr>
            <m:t>B</m:t>
          </m:r>
          <m:sSub>
            <m:sSubPr>
              <m:ctrlPr>
                <w:rPr>
                  <w:rFonts w:ascii="Cambria Math" w:hAnsi="Cambria Math"/>
                  <w:i/>
                  <w:lang w:eastAsia="es-CO"/>
                </w:rPr>
              </m:ctrlPr>
            </m:sSubPr>
            <m:e>
              <m:r>
                <w:rPr>
                  <w:rFonts w:ascii="Cambria Math" w:hAnsi="Cambria Math"/>
                  <w:lang w:eastAsia="es-CO"/>
                </w:rPr>
                <m:t>S</m:t>
              </m:r>
            </m:e>
            <m:sub>
              <m:r>
                <w:rPr>
                  <w:rFonts w:ascii="Cambria Math" w:hAnsi="Cambria Math"/>
                  <w:lang w:eastAsia="es-CO"/>
                </w:rPr>
                <m:t>it</m:t>
              </m:r>
            </m:sub>
          </m:sSub>
          <m:r>
            <w:rPr>
              <w:rFonts w:ascii="Cambria Math" w:hAnsi="Cambria Math"/>
              <w:lang w:eastAsia="es-CO"/>
            </w:rPr>
            <m:t>=</m:t>
          </m:r>
          <m:sSub>
            <m:sSubPr>
              <m:ctrlPr>
                <w:rPr>
                  <w:rFonts w:ascii="Cambria Math" w:hAnsi="Cambria Math"/>
                  <w:i/>
                  <w:lang w:eastAsia="es-CO"/>
                </w:rPr>
              </m:ctrlPr>
            </m:sSubPr>
            <m:e>
              <m:r>
                <w:rPr>
                  <w:rFonts w:ascii="Cambria Math" w:hAnsi="Cambria Math"/>
                  <w:lang w:eastAsia="es-CO"/>
                </w:rPr>
                <m:t>βF</m:t>
              </m:r>
            </m:e>
            <m:sub>
              <m:r>
                <w:rPr>
                  <w:rFonts w:ascii="Cambria Math" w:hAnsi="Cambria Math"/>
                  <w:lang w:eastAsia="es-CO"/>
                </w:rPr>
                <m:t>it</m:t>
              </m:r>
            </m:sub>
          </m:sSub>
          <m:r>
            <w:rPr>
              <w:rFonts w:ascii="Cambria Math" w:hAnsi="Cambria Math"/>
              <w:lang w:eastAsia="es-CO"/>
            </w:rPr>
            <m:t>+</m:t>
          </m:r>
          <m:sSub>
            <m:sSubPr>
              <m:ctrlPr>
                <w:rPr>
                  <w:rFonts w:ascii="Cambria Math" w:hAnsi="Cambria Math"/>
                  <w:i/>
                  <w:lang w:eastAsia="es-CO"/>
                </w:rPr>
              </m:ctrlPr>
            </m:sSubPr>
            <m:e>
              <m:r>
                <w:rPr>
                  <w:rFonts w:ascii="Cambria Math" w:hAnsi="Cambria Math"/>
                  <w:lang w:eastAsia="es-CO"/>
                </w:rPr>
                <m:t>γ</m:t>
              </m:r>
              <m:r>
                <w:rPr>
                  <w:rFonts w:ascii="Cambria Math" w:hAnsi="Cambria Math"/>
                  <w:lang w:eastAsia="es-CO"/>
                </w:rPr>
                <m:t>B</m:t>
              </m:r>
            </m:e>
            <m:sub>
              <m:r>
                <w:rPr>
                  <w:rFonts w:ascii="Cambria Math" w:hAnsi="Cambria Math"/>
                  <w:lang w:eastAsia="es-CO"/>
                </w:rPr>
                <m:t>it</m:t>
              </m:r>
            </m:sub>
          </m:sSub>
          <m:r>
            <w:rPr>
              <w:rFonts w:ascii="Cambria Math" w:hAnsi="Cambria Math"/>
              <w:lang w:eastAsia="es-CO"/>
            </w:rPr>
            <m:t>+</m:t>
          </m:r>
          <m:sSub>
            <m:sSubPr>
              <m:ctrlPr>
                <w:rPr>
                  <w:rFonts w:ascii="Cambria Math" w:hAnsi="Cambria Math"/>
                  <w:i/>
                  <w:lang w:eastAsia="es-CO"/>
                </w:rPr>
              </m:ctrlPr>
            </m:sSubPr>
            <m:e>
              <m:r>
                <w:rPr>
                  <w:rFonts w:ascii="Cambria Math" w:hAnsi="Cambria Math"/>
                  <w:lang w:eastAsia="es-CO"/>
                </w:rPr>
                <m:t>δC</m:t>
              </m:r>
            </m:e>
            <m:sub>
              <m:r>
                <w:rPr>
                  <w:rFonts w:ascii="Cambria Math" w:hAnsi="Cambria Math"/>
                  <w:lang w:eastAsia="es-CO"/>
                </w:rPr>
                <m:t>it</m:t>
              </m:r>
            </m:sub>
          </m:sSub>
          <m:r>
            <w:rPr>
              <w:rFonts w:ascii="Cambria Math" w:hAnsi="Cambria Math"/>
              <w:lang w:eastAsia="es-CO"/>
            </w:rPr>
            <m:t>+ω</m:t>
          </m:r>
          <m:sSub>
            <m:sSubPr>
              <m:ctrlPr>
                <w:rPr>
                  <w:rFonts w:ascii="Cambria Math" w:hAnsi="Cambria Math"/>
                  <w:i/>
                  <w:lang w:eastAsia="es-CO"/>
                </w:rPr>
              </m:ctrlPr>
            </m:sSubPr>
            <m:e>
              <m:r>
                <w:rPr>
                  <w:rFonts w:ascii="Cambria Math" w:hAnsi="Cambria Math"/>
                  <w:lang w:eastAsia="es-CO"/>
                </w:rPr>
                <m:t>G</m:t>
              </m:r>
            </m:e>
            <m:sub>
              <m:r>
                <w:rPr>
                  <w:rFonts w:ascii="Cambria Math" w:hAnsi="Cambria Math"/>
                  <w:lang w:eastAsia="es-CO"/>
                </w:rPr>
                <m:t>it</m:t>
              </m:r>
            </m:sub>
          </m:sSub>
          <m:r>
            <w:rPr>
              <w:rFonts w:ascii="Cambria Math" w:hAnsi="Cambria Math"/>
              <w:lang w:eastAsia="es-CO"/>
            </w:rPr>
            <m:t>+</m:t>
          </m:r>
          <m:sSub>
            <m:sSubPr>
              <m:ctrlPr>
                <w:rPr>
                  <w:rFonts w:ascii="Cambria Math" w:hAnsi="Cambria Math"/>
                  <w:i/>
                  <w:lang w:eastAsia="es-CO"/>
                </w:rPr>
              </m:ctrlPr>
            </m:sSubPr>
            <m:e>
              <m:r>
                <w:rPr>
                  <w:rFonts w:ascii="Cambria Math" w:hAnsi="Cambria Math"/>
                  <w:lang w:eastAsia="es-CO"/>
                </w:rPr>
                <m:t>ε</m:t>
              </m:r>
            </m:e>
            <m:sub>
              <m:r>
                <w:rPr>
                  <w:rFonts w:ascii="Cambria Math" w:hAnsi="Cambria Math"/>
                  <w:lang w:eastAsia="es-CO"/>
                </w:rPr>
                <m:t>it</m:t>
              </m:r>
            </m:sub>
          </m:sSub>
        </m:oMath>
      </m:oMathPara>
    </w:p>
    <w:p w14:paraId="205C9CD7" w14:textId="77777777" w:rsidR="00EA7AFE" w:rsidRDefault="00EA7AFE" w:rsidP="00E930EA">
      <w:pPr>
        <w:rPr>
          <w:lang w:eastAsia="es-CO"/>
        </w:rPr>
      </w:pPr>
    </w:p>
    <w:p w14:paraId="78319176" w14:textId="04874444" w:rsidR="00601EF8" w:rsidRDefault="00EA7AFE" w:rsidP="00E930EA">
      <w:pPr>
        <w:rPr>
          <w:lang w:eastAsia="es-CO"/>
        </w:rPr>
      </w:pPr>
      <w:r>
        <w:rPr>
          <w:lang w:eastAsia="es-CO"/>
        </w:rPr>
        <w:t>Where</w:t>
      </w:r>
      <w:r w:rsidR="003D1302">
        <w:rPr>
          <w:lang w:eastAsia="es-CO"/>
        </w:rPr>
        <w:t xml:space="preserve"> </w:t>
      </w:r>
      <m:oMath>
        <m:r>
          <w:rPr>
            <w:rFonts w:ascii="Cambria Math" w:hAnsi="Cambria Math"/>
            <w:lang w:eastAsia="es-CO"/>
          </w:rPr>
          <m:t>F</m:t>
        </m:r>
      </m:oMath>
      <w:r w:rsidR="003D1302">
        <w:rPr>
          <w:lang w:eastAsia="es-CO"/>
        </w:rPr>
        <w:t xml:space="preserve"> is a vector of </w:t>
      </w:r>
      <w:r w:rsidR="00601EF8">
        <w:rPr>
          <w:lang w:eastAsia="es-CO"/>
        </w:rPr>
        <w:t>firm (</w:t>
      </w:r>
      <w:r w:rsidR="003D1302">
        <w:rPr>
          <w:lang w:eastAsia="es-CO"/>
        </w:rPr>
        <w:t>issuer</w:t>
      </w:r>
      <w:r w:rsidR="00601EF8">
        <w:rPr>
          <w:lang w:eastAsia="es-CO"/>
        </w:rPr>
        <w:t>)</w:t>
      </w:r>
      <w:r w:rsidR="003D1302">
        <w:rPr>
          <w:lang w:eastAsia="es-CO"/>
        </w:rPr>
        <w:t xml:space="preserve"> </w:t>
      </w:r>
      <w:r w:rsidR="00A81EE6">
        <w:rPr>
          <w:lang w:eastAsia="es-CO"/>
        </w:rPr>
        <w:t>time variant characteristics,</w:t>
      </w:r>
      <w:r w:rsidR="00601EF8">
        <w:rPr>
          <w:lang w:eastAsia="es-CO"/>
        </w:rPr>
        <w:t xml:space="preserve"> </w:t>
      </w:r>
      <m:oMath>
        <m:r>
          <w:rPr>
            <w:rFonts w:ascii="Cambria Math" w:hAnsi="Cambria Math"/>
            <w:lang w:eastAsia="es-CO"/>
          </w:rPr>
          <m:t>B</m:t>
        </m:r>
      </m:oMath>
      <w:r w:rsidR="00601EF8">
        <w:rPr>
          <w:lang w:eastAsia="es-CO"/>
        </w:rPr>
        <w:t xml:space="preserve"> is a vector of bond </w:t>
      </w:r>
      <w:r w:rsidR="00A81EE6">
        <w:rPr>
          <w:lang w:eastAsia="es-CO"/>
        </w:rPr>
        <w:t>(issuing) time variant</w:t>
      </w:r>
      <w:r w:rsidR="00601EF8">
        <w:rPr>
          <w:lang w:eastAsia="es-CO"/>
        </w:rPr>
        <w:t xml:space="preserve"> </w:t>
      </w:r>
      <w:r w:rsidR="00A81EE6">
        <w:rPr>
          <w:lang w:eastAsia="es-CO"/>
        </w:rPr>
        <w:t xml:space="preserve">and </w:t>
      </w:r>
      <m:oMath>
        <m:r>
          <w:rPr>
            <w:rFonts w:ascii="Cambria Math" w:hAnsi="Cambria Math"/>
            <w:lang w:eastAsia="es-CO"/>
          </w:rPr>
          <m:t>BF</m:t>
        </m:r>
      </m:oMath>
      <w:r w:rsidR="00A81EE6">
        <w:rPr>
          <w:lang w:eastAsia="es-CO"/>
        </w:rPr>
        <w:t xml:space="preserve"> time invariant</w:t>
      </w:r>
      <w:r w:rsidR="00A81EE6" w:rsidRPr="00A81EE6">
        <w:rPr>
          <w:lang w:eastAsia="es-CO"/>
        </w:rPr>
        <w:t xml:space="preserve"> </w:t>
      </w:r>
      <w:r w:rsidR="00A81EE6" w:rsidRPr="00601EF8">
        <w:rPr>
          <w:lang w:eastAsia="es-CO"/>
        </w:rPr>
        <w:t>features</w:t>
      </w:r>
      <w:r w:rsidR="00601EF8">
        <w:rPr>
          <w:lang w:eastAsia="es-CO"/>
        </w:rPr>
        <w:t xml:space="preserve">, </w:t>
      </w:r>
      <m:oMath>
        <m:r>
          <w:rPr>
            <w:rFonts w:ascii="Cambria Math" w:hAnsi="Cambria Math"/>
            <w:lang w:eastAsia="es-CO"/>
          </w:rPr>
          <m:t>C</m:t>
        </m:r>
      </m:oMath>
      <w:r w:rsidR="00601EF8">
        <w:rPr>
          <w:lang w:eastAsia="es-CO"/>
        </w:rPr>
        <w:t xml:space="preserve"> represents specific country macroeconomic variables</w:t>
      </w:r>
      <w:r w:rsidR="00A81EE6">
        <w:rPr>
          <w:lang w:eastAsia="es-CO"/>
        </w:rPr>
        <w:t xml:space="preserve">, and T is a vector of some global controls. Each </w:t>
      </w:r>
      <w:r w:rsidR="00562C71">
        <w:rPr>
          <w:lang w:eastAsia="es-CO"/>
        </w:rPr>
        <w:t>group of variables</w:t>
      </w:r>
      <w:r w:rsidR="00A81EE6">
        <w:rPr>
          <w:lang w:eastAsia="es-CO"/>
        </w:rPr>
        <w:t xml:space="preserve"> </w:t>
      </w:r>
      <w:r w:rsidR="00562C71">
        <w:rPr>
          <w:lang w:eastAsia="es-CO"/>
        </w:rPr>
        <w:t>is</w:t>
      </w:r>
      <w:r w:rsidR="00A81EE6">
        <w:rPr>
          <w:lang w:eastAsia="es-CO"/>
        </w:rPr>
        <w:t xml:space="preserve"> described as follows:</w:t>
      </w:r>
    </w:p>
    <w:p w14:paraId="1E607082" w14:textId="1937363D" w:rsidR="00467E31" w:rsidRDefault="00562C71" w:rsidP="00467E31">
      <w:pPr>
        <w:pStyle w:val="Prrafodelista"/>
        <w:numPr>
          <w:ilvl w:val="0"/>
          <w:numId w:val="32"/>
        </w:numPr>
        <w:rPr>
          <w:lang w:eastAsia="es-CO"/>
        </w:rPr>
      </w:pPr>
      <w:r>
        <w:rPr>
          <w:lang w:eastAsia="es-CO"/>
        </w:rPr>
        <w:t xml:space="preserve">The vector of the firm specific characteristics </w:t>
      </w:r>
      <m:oMath>
        <m:r>
          <w:rPr>
            <w:rFonts w:ascii="Cambria Math" w:hAnsi="Cambria Math"/>
            <w:lang w:eastAsia="es-CO"/>
          </w:rPr>
          <m:t>F=</m:t>
        </m:r>
        <m:d>
          <m:dPr>
            <m:begChr m:val="{"/>
            <m:endChr m:val="}"/>
            <m:ctrlPr>
              <w:rPr>
                <w:rFonts w:ascii="Cambria Math" w:hAnsi="Cambria Math"/>
                <w:i/>
                <w:lang w:eastAsia="es-CO"/>
              </w:rPr>
            </m:ctrlPr>
          </m:dPr>
          <m:e>
            <m:r>
              <w:rPr>
                <w:rFonts w:ascii="Cambria Math" w:hAnsi="Cambria Math"/>
                <w:lang w:eastAsia="es-CO"/>
              </w:rPr>
              <m:t>LEV,ROA,NMG,EVOL,SIZ</m:t>
            </m:r>
          </m:e>
        </m:d>
      </m:oMath>
      <w:r w:rsidR="0080747A">
        <w:rPr>
          <w:lang w:eastAsia="es-CO"/>
        </w:rPr>
        <w:t xml:space="preserve"> </w:t>
      </w:r>
      <w:r>
        <w:rPr>
          <w:lang w:eastAsia="es-CO"/>
        </w:rPr>
        <w:t xml:space="preserve">is completely time variant. Variables considered are LEV: </w:t>
      </w:r>
      <w:r w:rsidR="0080747A">
        <w:rPr>
          <w:lang w:eastAsia="es-CO"/>
        </w:rPr>
        <w:t>leverage</w:t>
      </w:r>
      <w:r w:rsidR="005F62C9">
        <w:rPr>
          <w:lang w:eastAsia="es-CO"/>
        </w:rPr>
        <w:t>,</w:t>
      </w:r>
      <w:r w:rsidR="0080747A">
        <w:rPr>
          <w:lang w:eastAsia="es-CO"/>
        </w:rPr>
        <w:t xml:space="preserve"> </w:t>
      </w:r>
      <w:r w:rsidR="005F62C9">
        <w:rPr>
          <w:lang w:eastAsia="es-CO"/>
        </w:rPr>
        <w:t>as total debt on total assets</w:t>
      </w:r>
      <w:r w:rsidR="0080747A">
        <w:rPr>
          <w:lang w:eastAsia="es-CO"/>
        </w:rPr>
        <w:t xml:space="preserve">; </w:t>
      </w:r>
      <w:r w:rsidR="003034B1">
        <w:rPr>
          <w:lang w:eastAsia="es-CO"/>
        </w:rPr>
        <w:t xml:space="preserve">ROA: </w:t>
      </w:r>
      <w:r w:rsidR="0080747A">
        <w:rPr>
          <w:lang w:eastAsia="es-CO"/>
        </w:rPr>
        <w:t xml:space="preserve">return on </w:t>
      </w:r>
      <w:r>
        <w:rPr>
          <w:lang w:eastAsia="es-CO"/>
        </w:rPr>
        <w:t>assets</w:t>
      </w:r>
      <w:r w:rsidR="0080747A">
        <w:rPr>
          <w:lang w:eastAsia="es-CO"/>
        </w:rPr>
        <w:t xml:space="preserve">; </w:t>
      </w:r>
      <w:r w:rsidR="003034B1">
        <w:rPr>
          <w:lang w:eastAsia="es-CO"/>
        </w:rPr>
        <w:t>NMG:</w:t>
      </w:r>
      <w:r w:rsidR="0080747A">
        <w:rPr>
          <w:lang w:eastAsia="es-CO"/>
        </w:rPr>
        <w:t xml:space="preserve"> </w:t>
      </w:r>
      <w:r w:rsidR="003034B1">
        <w:rPr>
          <w:lang w:eastAsia="es-CO"/>
        </w:rPr>
        <w:t xml:space="preserve">is a </w:t>
      </w:r>
      <w:r w:rsidR="0080747A">
        <w:rPr>
          <w:lang w:eastAsia="es-CO"/>
        </w:rPr>
        <w:t xml:space="preserve">growth </w:t>
      </w:r>
      <w:r w:rsidR="003034B1">
        <w:rPr>
          <w:lang w:eastAsia="es-CO"/>
        </w:rPr>
        <w:t xml:space="preserve">measure, obtained </w:t>
      </w:r>
      <w:r w:rsidR="0080747A">
        <w:rPr>
          <w:lang w:eastAsia="es-CO"/>
        </w:rPr>
        <w:t xml:space="preserve">as </w:t>
      </w:r>
      <w:r w:rsidR="003034B1">
        <w:rPr>
          <w:lang w:eastAsia="es-CO"/>
        </w:rPr>
        <w:t xml:space="preserve">the </w:t>
      </w:r>
      <w:r w:rsidR="0080747A">
        <w:rPr>
          <w:lang w:eastAsia="es-CO"/>
        </w:rPr>
        <w:t>net marg</w:t>
      </w:r>
      <w:r w:rsidR="001E0FCB">
        <w:rPr>
          <w:lang w:eastAsia="es-CO"/>
        </w:rPr>
        <w:t>in</w:t>
      </w:r>
      <w:r w:rsidR="003034B1">
        <w:rPr>
          <w:lang w:eastAsia="es-CO"/>
        </w:rPr>
        <w:t xml:space="preserve"> 5 years growth</w:t>
      </w:r>
      <w:r w:rsidR="0080747A">
        <w:rPr>
          <w:lang w:eastAsia="es-CO"/>
        </w:rPr>
        <w:t xml:space="preserve">; </w:t>
      </w:r>
      <w:r w:rsidR="003034B1">
        <w:rPr>
          <w:lang w:eastAsia="es-CO"/>
        </w:rPr>
        <w:t xml:space="preserve">EVOL: is the </w:t>
      </w:r>
      <w:r>
        <w:rPr>
          <w:lang w:eastAsia="es-CO"/>
        </w:rPr>
        <w:t xml:space="preserve">equity </w:t>
      </w:r>
      <w:r w:rsidR="0080747A">
        <w:rPr>
          <w:lang w:eastAsia="es-CO"/>
        </w:rPr>
        <w:t xml:space="preserve">volatility </w:t>
      </w:r>
      <w:r w:rsidR="003034B1">
        <w:rPr>
          <w:lang w:eastAsia="es-CO"/>
        </w:rPr>
        <w:t xml:space="preserve">as price volatility; SIZ: in order to control for the </w:t>
      </w:r>
      <w:r>
        <w:rPr>
          <w:lang w:eastAsia="es-CO"/>
        </w:rPr>
        <w:t xml:space="preserve">size </w:t>
      </w:r>
      <w:r w:rsidR="003034B1">
        <w:rPr>
          <w:lang w:eastAsia="es-CO"/>
        </w:rPr>
        <w:t>of the firm, and introduced by the l</w:t>
      </w:r>
      <w:r>
        <w:rPr>
          <w:lang w:eastAsia="es-CO"/>
        </w:rPr>
        <w:t>ogarithm of firm’s market capitalization</w:t>
      </w:r>
      <w:r w:rsidR="00B73A97" w:rsidRPr="00467E31">
        <w:rPr>
          <w:vanish/>
          <w:lang w:eastAsia="es-CO"/>
        </w:rPr>
        <w:t>=he other hand Ye time series. { then are fixed accross h alternative variables to control for same characteristics of the issue</w:t>
      </w:r>
      <w:r w:rsidR="003D1302">
        <w:rPr>
          <w:lang w:eastAsia="es-CO"/>
        </w:rPr>
        <w:t>.</w:t>
      </w:r>
    </w:p>
    <w:p w14:paraId="32E82D40" w14:textId="7157A287" w:rsidR="00467E31" w:rsidRDefault="005F62C9" w:rsidP="00467E31">
      <w:pPr>
        <w:pStyle w:val="Prrafodelista"/>
        <w:numPr>
          <w:ilvl w:val="0"/>
          <w:numId w:val="32"/>
        </w:numPr>
        <w:rPr>
          <w:lang w:eastAsia="es-CO"/>
        </w:rPr>
      </w:pPr>
      <w:r>
        <w:rPr>
          <w:lang w:eastAsia="es-CO"/>
        </w:rPr>
        <w:t xml:space="preserve">The vector </w:t>
      </w:r>
      <m:oMath>
        <m:r>
          <w:rPr>
            <w:rFonts w:ascii="Cambria Math" w:hAnsi="Cambria Math"/>
            <w:lang w:eastAsia="es-CO"/>
          </w:rPr>
          <m:t>B</m:t>
        </m:r>
        <m:r>
          <w:rPr>
            <w:rFonts w:ascii="Cambria Math" w:hAnsi="Cambria Math"/>
            <w:lang w:eastAsia="es-CO"/>
          </w:rPr>
          <m:t>=</m:t>
        </m:r>
        <m:d>
          <m:dPr>
            <m:begChr m:val="{"/>
            <m:endChr m:val="}"/>
            <m:ctrlPr>
              <w:rPr>
                <w:rFonts w:ascii="Cambria Math" w:hAnsi="Cambria Math"/>
                <w:i/>
                <w:lang w:eastAsia="es-CO"/>
              </w:rPr>
            </m:ctrlPr>
          </m:dPr>
          <m:e>
            <m:r>
              <w:rPr>
                <w:rFonts w:ascii="Cambria Math" w:hAnsi="Cambria Math"/>
                <w:lang w:eastAsia="es-CO"/>
              </w:rPr>
              <m:t>TM,</m:t>
            </m:r>
            <m:r>
              <w:rPr>
                <w:rFonts w:ascii="Cambria Math" w:hAnsi="Cambria Math"/>
                <w:lang w:eastAsia="es-CO"/>
              </w:rPr>
              <m:t>MOD</m:t>
            </m:r>
            <m:r>
              <w:rPr>
                <w:rFonts w:ascii="Cambria Math" w:hAnsi="Cambria Math"/>
                <w:lang w:eastAsia="es-CO"/>
              </w:rPr>
              <m:t>,LEV×TM</m:t>
            </m:r>
          </m:e>
        </m:d>
      </m:oMath>
      <w:r w:rsidR="003D1302">
        <w:rPr>
          <w:lang w:eastAsia="es-CO"/>
        </w:rPr>
        <w:t xml:space="preserve"> </w:t>
      </w:r>
      <w:r>
        <w:rPr>
          <w:lang w:eastAsia="es-CO"/>
        </w:rPr>
        <w:t xml:space="preserve">contains bond specific features. TM: is the </w:t>
      </w:r>
      <w:r w:rsidR="00467E31">
        <w:rPr>
          <w:lang w:eastAsia="es-CO"/>
        </w:rPr>
        <w:t>time remaining to maturity</w:t>
      </w:r>
      <w:r w:rsidR="00562C71">
        <w:rPr>
          <w:lang w:eastAsia="es-CO"/>
        </w:rPr>
        <w:t xml:space="preserve">; </w:t>
      </w:r>
      <w:r>
        <w:rPr>
          <w:lang w:eastAsia="es-CO"/>
        </w:rPr>
        <w:t xml:space="preserve">MOD: </w:t>
      </w:r>
      <w:r w:rsidR="004E6E4D">
        <w:rPr>
          <w:lang w:eastAsia="es-CO"/>
        </w:rPr>
        <w:t xml:space="preserve">is a constructed score from </w:t>
      </w:r>
      <w:r w:rsidR="00562C71">
        <w:rPr>
          <w:lang w:eastAsia="es-CO"/>
        </w:rPr>
        <w:t>Moody’s rating</w:t>
      </w:r>
      <w:r>
        <w:rPr>
          <w:lang w:eastAsia="es-CO"/>
        </w:rPr>
        <w:t xml:space="preserve">; and (LEV×TM) is an interaction of Leverage and Time remaining to maturity, in order </w:t>
      </w:r>
      <w:proofErr w:type="gramStart"/>
      <w:r>
        <w:rPr>
          <w:lang w:eastAsia="es-CO"/>
        </w:rPr>
        <w:t>to</w:t>
      </w:r>
      <w:proofErr w:type="gramEnd"/>
      <w:r>
        <w:rPr>
          <w:lang w:eastAsia="es-CO"/>
        </w:rPr>
        <w:t xml:space="preserve"> control for the effect of the risk due to longer time to maturity, but depending on the leverage level of the firm, in the same line of </w:t>
      </w:r>
      <w:proofErr w:type="spellStart"/>
      <w:r>
        <w:rPr>
          <w:lang w:eastAsia="es-CO"/>
        </w:rPr>
        <w:t>Cavallo</w:t>
      </w:r>
      <w:proofErr w:type="spellEnd"/>
      <w:r>
        <w:rPr>
          <w:lang w:eastAsia="es-CO"/>
        </w:rPr>
        <w:t xml:space="preserve"> &amp; Valenzuela (2010).</w:t>
      </w:r>
    </w:p>
    <w:p w14:paraId="162C49BD" w14:textId="13BCAC9C" w:rsidR="00EA7AFE" w:rsidRPr="00467E31" w:rsidRDefault="00D05275" w:rsidP="00467E31">
      <w:pPr>
        <w:pStyle w:val="Prrafodelista"/>
        <w:numPr>
          <w:ilvl w:val="0"/>
          <w:numId w:val="32"/>
        </w:numPr>
        <w:rPr>
          <w:rFonts w:ascii="Cambria Math" w:hAnsi="Cambria Math"/>
          <w:lang w:eastAsia="es-CO"/>
          <w:oMath/>
        </w:rPr>
      </w:pPr>
      <w:r>
        <w:rPr>
          <w:lang w:eastAsia="es-CO"/>
        </w:rPr>
        <w:t xml:space="preserve">Our set of country specific variables </w:t>
      </w:r>
      <m:oMath>
        <m:r>
          <w:rPr>
            <w:rFonts w:ascii="Cambria Math" w:hAnsi="Cambria Math"/>
            <w:lang w:eastAsia="es-CO"/>
          </w:rPr>
          <m:t>C=</m:t>
        </m:r>
        <m:d>
          <m:dPr>
            <m:begChr m:val="{"/>
            <m:endChr m:val="}"/>
            <m:ctrlPr>
              <w:rPr>
                <w:rFonts w:ascii="Cambria Math" w:hAnsi="Cambria Math"/>
                <w:i/>
                <w:lang w:eastAsia="es-CO"/>
              </w:rPr>
            </m:ctrlPr>
          </m:dPr>
          <m:e>
            <m:r>
              <w:rPr>
                <w:rFonts w:ascii="Cambria Math" w:hAnsi="Cambria Math"/>
                <w:lang w:eastAsia="es-CO"/>
              </w:rPr>
              <m:t>LGTPD,</m:t>
            </m:r>
            <m:r>
              <w:rPr>
                <w:rFonts w:ascii="Cambria Math" w:hAnsi="Cambria Math"/>
                <w:lang w:eastAsia="es-CO"/>
              </w:rPr>
              <m:t>BFR,CBR,</m:t>
            </m:r>
            <m:r>
              <m:rPr>
                <m:sty m:val="p"/>
              </m:rPr>
              <w:rPr>
                <w:rFonts w:ascii="Cambria Math" w:hAnsi="Cambria Math"/>
                <w:lang w:eastAsia="es-CO"/>
              </w:rPr>
              <m:t xml:space="preserve"> </m:t>
            </m:r>
            <m:r>
              <w:rPr>
                <w:rFonts w:ascii="Cambria Math" w:hAnsi="Cambria Math"/>
                <w:lang w:eastAsia="es-CO"/>
              </w:rPr>
              <m:t>BBI</m:t>
            </m:r>
          </m:e>
        </m:d>
      </m:oMath>
      <w:r w:rsidR="00071A3E">
        <w:rPr>
          <w:lang w:eastAsia="es-CO"/>
        </w:rPr>
        <w:t xml:space="preserve"> </w:t>
      </w:r>
      <w:r>
        <w:rPr>
          <w:lang w:eastAsia="es-CO"/>
        </w:rPr>
        <w:t xml:space="preserve">includes the LGTPD: the effect of public debt, measured by the logarithm of total public debt; </w:t>
      </w:r>
      <w:r w:rsidR="00071A3E">
        <w:rPr>
          <w:lang w:eastAsia="es-CO"/>
        </w:rPr>
        <w:t>gross domestic product;</w:t>
      </w:r>
      <w:r w:rsidR="00160DC5">
        <w:rPr>
          <w:lang w:eastAsia="es-CO"/>
        </w:rPr>
        <w:t xml:space="preserve"> </w:t>
      </w:r>
      <w:r>
        <w:rPr>
          <w:lang w:eastAsia="es-CO"/>
        </w:rPr>
        <w:t xml:space="preserve">BFR: </w:t>
      </w:r>
      <w:r>
        <w:rPr>
          <w:lang w:eastAsia="es-CO"/>
        </w:rPr>
        <w:t>Bloomberg’s financial country risk;</w:t>
      </w:r>
      <w:r>
        <w:rPr>
          <w:lang w:eastAsia="es-CO"/>
        </w:rPr>
        <w:t xml:space="preserve"> CBR: </w:t>
      </w:r>
      <w:r>
        <w:rPr>
          <w:lang w:eastAsia="es-CO"/>
        </w:rPr>
        <w:t>central bank interest rate</w:t>
      </w:r>
      <w:r w:rsidR="00C00FBA">
        <w:rPr>
          <w:lang w:eastAsia="es-CO"/>
        </w:rPr>
        <w:t>;</w:t>
      </w:r>
      <w:r w:rsidR="00071A3E">
        <w:rPr>
          <w:lang w:eastAsia="es-CO"/>
        </w:rPr>
        <w:t xml:space="preserve"> </w:t>
      </w:r>
      <w:r>
        <w:rPr>
          <w:lang w:eastAsia="es-CO"/>
        </w:rPr>
        <w:t>BBI:</w:t>
      </w:r>
      <w:r w:rsidR="00071A3E">
        <w:rPr>
          <w:lang w:eastAsia="es-CO"/>
        </w:rPr>
        <w:t xml:space="preserve"> </w:t>
      </w:r>
      <w:r w:rsidR="00C00FBA">
        <w:rPr>
          <w:lang w:eastAsia="es-CO"/>
        </w:rPr>
        <w:t>Bloomberg’s bond index</w:t>
      </w:r>
      <w:r w:rsidR="00160DC5">
        <w:rPr>
          <w:lang w:eastAsia="es-CO"/>
        </w:rPr>
        <w:t>.</w:t>
      </w:r>
    </w:p>
    <w:p w14:paraId="305971E9" w14:textId="746383F3" w:rsidR="00467E31" w:rsidRDefault="00D05275" w:rsidP="00D05275">
      <w:pPr>
        <w:pStyle w:val="Prrafodelista"/>
        <w:numPr>
          <w:ilvl w:val="0"/>
          <w:numId w:val="32"/>
        </w:numPr>
        <w:rPr>
          <w:lang w:eastAsia="es-CO"/>
        </w:rPr>
      </w:pPr>
      <w:r>
        <w:rPr>
          <w:lang w:eastAsia="es-CO"/>
        </w:rPr>
        <w:lastRenderedPageBreak/>
        <w:t xml:space="preserve">And the global </w:t>
      </w:r>
      <w:proofErr w:type="gramStart"/>
      <w:r>
        <w:rPr>
          <w:lang w:eastAsia="es-CO"/>
        </w:rPr>
        <w:t xml:space="preserve">factors </w:t>
      </w:r>
      <w:proofErr w:type="gramEnd"/>
      <m:oMath>
        <m:r>
          <w:rPr>
            <w:rFonts w:ascii="Cambria Math" w:hAnsi="Cambria Math"/>
            <w:lang w:eastAsia="es-CO"/>
          </w:rPr>
          <m:t>G</m:t>
        </m:r>
        <m:r>
          <w:rPr>
            <w:rFonts w:ascii="Cambria Math" w:hAnsi="Cambria Math"/>
            <w:lang w:eastAsia="es-CO"/>
          </w:rPr>
          <m:t>=</m:t>
        </m:r>
        <m:d>
          <m:dPr>
            <m:begChr m:val="{"/>
            <m:endChr m:val="}"/>
            <m:ctrlPr>
              <w:rPr>
                <w:rFonts w:ascii="Cambria Math" w:hAnsi="Cambria Math"/>
                <w:i/>
                <w:lang w:eastAsia="es-CO"/>
              </w:rPr>
            </m:ctrlPr>
          </m:dPr>
          <m:e>
            <m:r>
              <w:rPr>
                <w:rFonts w:ascii="Cambria Math" w:hAnsi="Cambria Math"/>
                <w:lang w:eastAsia="es-CO"/>
              </w:rPr>
              <m:t>VIX</m:t>
            </m:r>
          </m:e>
        </m:d>
      </m:oMath>
      <w:r>
        <w:rPr>
          <w:lang w:eastAsia="es-CO"/>
        </w:rPr>
        <w:t xml:space="preserve">, where VIX: </w:t>
      </w:r>
      <w:r w:rsidR="00EA5EF1">
        <w:rPr>
          <w:lang w:eastAsia="es-CO"/>
        </w:rPr>
        <w:t xml:space="preserve">Chicago Options Exchange </w:t>
      </w:r>
      <w:r>
        <w:rPr>
          <w:lang w:eastAsia="es-CO"/>
        </w:rPr>
        <w:t>volatility index</w:t>
      </w:r>
      <w:r w:rsidR="00467E31">
        <w:rPr>
          <w:lang w:eastAsia="es-CO"/>
        </w:rPr>
        <w:t>.</w:t>
      </w:r>
    </w:p>
    <w:p w14:paraId="28CA0202" w14:textId="77777777" w:rsidR="00D05275" w:rsidRDefault="00D05275" w:rsidP="00D05275">
      <w:pPr>
        <w:rPr>
          <w:lang w:eastAsia="es-CO"/>
        </w:rPr>
      </w:pPr>
    </w:p>
    <w:p w14:paraId="6F395E56" w14:textId="6DE6BB7B" w:rsidR="00D05275" w:rsidRPr="00D05275" w:rsidRDefault="00D05275" w:rsidP="00D05275">
      <w:pPr>
        <w:rPr>
          <w:lang w:eastAsia="es-CO"/>
        </w:rPr>
      </w:pPr>
      <w:r>
        <w:rPr>
          <w:lang w:eastAsia="es-CO"/>
        </w:rPr>
        <w:t xml:space="preserve">In order to find country and industry </w:t>
      </w:r>
      <w:proofErr w:type="gramStart"/>
      <w:r>
        <w:rPr>
          <w:lang w:eastAsia="es-CO"/>
        </w:rPr>
        <w:t>effects</w:t>
      </w:r>
      <w:proofErr w:type="gramEnd"/>
      <w:r>
        <w:rPr>
          <w:lang w:eastAsia="es-CO"/>
        </w:rPr>
        <w:t>, we use a set of categorical variables by country and industry.</w:t>
      </w:r>
    </w:p>
    <w:p w14:paraId="537B9F22" w14:textId="77777777" w:rsidR="00F62F42" w:rsidRDefault="00F62F42" w:rsidP="00F62F42">
      <w:pPr>
        <w:rPr>
          <w:lang w:eastAsia="es-CO"/>
        </w:rPr>
      </w:pPr>
    </w:p>
    <w:p w14:paraId="311E16F6" w14:textId="77777777" w:rsidR="0034770F" w:rsidRPr="007E011B" w:rsidRDefault="0034770F" w:rsidP="00D520A3"/>
    <w:p w14:paraId="25D1C55D" w14:textId="161AEF22" w:rsidR="007E011B" w:rsidRPr="002A706E" w:rsidRDefault="009D25CD" w:rsidP="007E011B">
      <w:pPr>
        <w:pStyle w:val="Ttulo1"/>
        <w:ind w:left="431" w:hanging="431"/>
        <w:rPr>
          <w:lang w:val="en-US"/>
        </w:rPr>
      </w:pPr>
      <w:r>
        <w:rPr>
          <w:lang w:val="en-US"/>
        </w:rPr>
        <w:t xml:space="preserve">Results </w:t>
      </w:r>
      <w:r w:rsidR="002A706E" w:rsidRPr="002A706E">
        <w:rPr>
          <w:lang w:val="en-US"/>
        </w:rPr>
        <w:t>and</w:t>
      </w:r>
      <w:r w:rsidR="002A706E">
        <w:rPr>
          <w:lang w:val="en-US"/>
        </w:rPr>
        <w:t xml:space="preserve"> </w:t>
      </w:r>
      <w:r>
        <w:rPr>
          <w:lang w:val="en-US"/>
        </w:rPr>
        <w:t>Discussion</w:t>
      </w:r>
    </w:p>
    <w:p w14:paraId="6024B4DE" w14:textId="77777777" w:rsidR="009641ED" w:rsidRDefault="009641ED" w:rsidP="00D520A3">
      <w:pPr>
        <w:rPr>
          <w:lang w:eastAsia="es-CO"/>
        </w:rPr>
      </w:pPr>
    </w:p>
    <w:p w14:paraId="7B8D5753" w14:textId="329DDA9E" w:rsidR="007E011B" w:rsidRDefault="009641ED" w:rsidP="00D520A3">
      <w:pPr>
        <w:rPr>
          <w:lang w:eastAsia="es-CO"/>
        </w:rPr>
      </w:pPr>
      <w:r>
        <w:rPr>
          <w:lang w:eastAsia="es-CO"/>
        </w:rPr>
        <w:t xml:space="preserve">More than a single specification, we use different models with alternative variables to control for </w:t>
      </w:r>
      <w:r w:rsidR="00427451">
        <w:rPr>
          <w:lang w:eastAsia="es-CO"/>
        </w:rPr>
        <w:t>different levels of</w:t>
      </w:r>
      <w:r>
        <w:rPr>
          <w:lang w:eastAsia="es-CO"/>
        </w:rPr>
        <w:t xml:space="preserve"> characteristics </w:t>
      </w:r>
      <w:r w:rsidR="00427451">
        <w:rPr>
          <w:lang w:eastAsia="es-CO"/>
        </w:rPr>
        <w:t>described above</w:t>
      </w:r>
      <w:r>
        <w:rPr>
          <w:lang w:eastAsia="es-CO"/>
        </w:rPr>
        <w:t>.</w:t>
      </w:r>
      <w:r w:rsidR="00427451">
        <w:rPr>
          <w:lang w:eastAsia="es-CO"/>
        </w:rPr>
        <w:t xml:space="preserve"> From descriptive statistics of variables we found that robust regressions were necessary in order to get efficient estimators.</w:t>
      </w:r>
    </w:p>
    <w:p w14:paraId="2AA5B858" w14:textId="77777777" w:rsidR="00427451" w:rsidRDefault="00427451" w:rsidP="00D520A3">
      <w:pPr>
        <w:rPr>
          <w:lang w:eastAsia="es-CO"/>
        </w:rPr>
      </w:pPr>
    </w:p>
    <w:p w14:paraId="6CD8A049" w14:textId="7CF95883" w:rsidR="00427451" w:rsidRDefault="00427451" w:rsidP="00427451">
      <w:pPr>
        <w:jc w:val="center"/>
      </w:pPr>
      <w:r>
        <w:rPr>
          <w:lang w:eastAsia="es-CO"/>
        </w:rPr>
        <w:t>Table 2 about here</w:t>
      </w:r>
    </w:p>
    <w:p w14:paraId="35B452C1" w14:textId="77777777" w:rsidR="009641ED" w:rsidRDefault="009641ED" w:rsidP="00D520A3"/>
    <w:p w14:paraId="16876866" w14:textId="77777777" w:rsidR="0000732A" w:rsidRDefault="0000732A" w:rsidP="0000732A">
      <w:r w:rsidRPr="003A593B">
        <w:t>The first result</w:t>
      </w:r>
      <w:r>
        <w:t>s</w:t>
      </w:r>
      <w:r w:rsidRPr="003A593B">
        <w:t xml:space="preserve"> from the regression on the firm specific factors </w:t>
      </w:r>
      <w:r>
        <w:t>in column (1</w:t>
      </w:r>
      <w:proofErr w:type="gramStart"/>
      <w:r>
        <w:t>),</w:t>
      </w:r>
      <w:proofErr w:type="gramEnd"/>
      <w:r>
        <w:t xml:space="preserve"> </w:t>
      </w:r>
      <w:r w:rsidRPr="003A593B">
        <w:t xml:space="preserve">are mostly statistically significant. The measure of return on assets is not significant, but the rest of variables employed do. </w:t>
      </w:r>
      <w:r>
        <w:t xml:space="preserve">The sign of the coefficient for Leverage is positive and significant, in the same line of the results for </w:t>
      </w:r>
      <w:proofErr w:type="spellStart"/>
      <w:r>
        <w:t>Cavallo</w:t>
      </w:r>
      <w:proofErr w:type="spellEnd"/>
      <w:r>
        <w:t xml:space="preserve"> &amp; Valenzuela (2010). It is because the leverage makes riskier the firm. </w:t>
      </w:r>
    </w:p>
    <w:p w14:paraId="4DBCA960" w14:textId="775D3AAD" w:rsidR="0000732A" w:rsidRDefault="0000732A" w:rsidP="0000732A">
      <w:r>
        <w:t xml:space="preserve">Meanwhile, the sign for Volatility of Equity and Size are contrary to those results; the variable for Size has a positive sign and the variable for Volatility a negative one. </w:t>
      </w:r>
      <w:r>
        <w:t>The result for the first is counter intuitive, it could be though that as more volatile equities they are more attractive the bonds for investors. On the other hand the result for the latter</w:t>
      </w:r>
      <w:r w:rsidR="00DA7DDA">
        <w:t xml:space="preserve"> refers to the change in the size, since it is calculated by the logarithm of the market capitalization.</w:t>
      </w:r>
    </w:p>
    <w:p w14:paraId="59BAB7F7" w14:textId="365C83A8" w:rsidR="0000732A" w:rsidRDefault="0000732A" w:rsidP="0000732A">
      <w:r>
        <w:t>We find an important negative effect on the spread, due to utilities growth</w:t>
      </w:r>
      <w:r w:rsidR="00DA7DDA">
        <w:t xml:space="preserve">. If this growth is associated as proxy with the growth of Free Cash Flow, and its availability, this positive sign must be related with the agency problem pointed out by Jensen </w:t>
      </w:r>
      <w:r w:rsidR="00DA7DDA">
        <w:fldChar w:fldCharType="begin"/>
      </w:r>
      <w:r w:rsidR="00DA7DDA">
        <w:instrText xml:space="preserve"> ADDIN ZOTERO_ITEM {"citationID":"12eaia6jog","properties":{"formattedCitation":"(1986)","plainCitation":"(1986)"},"citationItems":[{"id":954,"uris":["http://zotero.org/users/338027/items/QWQX7J8A"],"uri":["http://zotero.org/users/338027/items/QWQX7J8A"],"suppress-author":true}]} </w:instrText>
      </w:r>
      <w:r w:rsidR="00DA7DDA">
        <w:fldChar w:fldCharType="separate"/>
      </w:r>
      <w:r w:rsidR="00DA7DDA" w:rsidRPr="00DA7DDA">
        <w:t>(1986)</w:t>
      </w:r>
      <w:r w:rsidR="00DA7DDA">
        <w:fldChar w:fldCharType="end"/>
      </w:r>
      <w:r w:rsidR="00DA7DDA">
        <w:t>.</w:t>
      </w:r>
    </w:p>
    <w:p w14:paraId="16338406" w14:textId="5F9BBA46" w:rsidR="00DA7DDA" w:rsidRDefault="00A431DD" w:rsidP="0000732A">
      <w:r>
        <w:lastRenderedPageBreak/>
        <w:t>In this regression the inclusion of dummies for country and industry, just reveals significant coefficients for India and Korea.</w:t>
      </w:r>
    </w:p>
    <w:p w14:paraId="27A77E0F" w14:textId="65D0107D" w:rsidR="00A431DD" w:rsidRDefault="00A431DD" w:rsidP="0000732A">
      <w:r>
        <w:t xml:space="preserve">In the second and third specifications (columns SPF 2 and SPF 3) we include some bond characteristics. In both of them time to maturity has positive sign and statistical significance, which is intuitive for the risk associated with greater time remaining to maturity. However the interaction of this variable with leverage, suggested by </w:t>
      </w:r>
      <w:proofErr w:type="spellStart"/>
      <w:r>
        <w:t>Cavallo</w:t>
      </w:r>
      <w:proofErr w:type="spellEnd"/>
      <w:r>
        <w:t xml:space="preserve"> &amp; Valenzuela (2010) does not have statistical significance in model 2. On the other hand, Moody’s rating has the expected negative sign and statistical significance.</w:t>
      </w:r>
    </w:p>
    <w:p w14:paraId="7A158730" w14:textId="746E3108" w:rsidR="00A431DD" w:rsidRDefault="00685784" w:rsidP="0000732A">
      <w:r>
        <w:t xml:space="preserve">When dummies included in these two specifications, both of them show significant coefficients for Czech Republic and India; but the </w:t>
      </w:r>
      <w:proofErr w:type="gramStart"/>
      <w:r>
        <w:t>SPF(</w:t>
      </w:r>
      <w:proofErr w:type="gramEnd"/>
      <w:r>
        <w:t>3) also gives significant coefficients for Industrial and Utilities sectors. Furthermore, Moody’s rating becomes not statistically significant.</w:t>
      </w:r>
    </w:p>
    <w:p w14:paraId="3D863621" w14:textId="6D60DAD5" w:rsidR="00685784" w:rsidRDefault="00685784" w:rsidP="0000732A">
      <w:r>
        <w:t>Regression in column 4 controls for country specific factors. The most remarkable result here is that Size control changes sign. It is more intuitive since bigger firms must have lower risk.</w:t>
      </w:r>
      <w:r w:rsidR="00E548A8">
        <w:t xml:space="preserve"> Here Bloomberg’s bond index, have negative sign. Markets highly rated have lower risk and this fact positively impact corporate issues. </w:t>
      </w:r>
    </w:p>
    <w:p w14:paraId="49E1569C" w14:textId="525B3F87" w:rsidR="00E548A8" w:rsidRDefault="00E548A8" w:rsidP="0000732A">
      <w:r>
        <w:t>Nonetheless, the negative sign in the total public debt control is not as intuitive as well. One can interpret that higher levels of public debt make more attractive private debt, increasing the prices and, therefore, reducing the yield of this latter. Financial risk has the expected positive sign, because the more financial risk, the greater the spread.</w:t>
      </w:r>
    </w:p>
    <w:p w14:paraId="11A0F50A" w14:textId="1BCEB044" w:rsidR="00E548A8" w:rsidRDefault="00E548A8" w:rsidP="0000732A">
      <w:r>
        <w:t xml:space="preserve">We included the categorical variables for this model and most of the country variables become statistically not significant, </w:t>
      </w:r>
      <w:r w:rsidR="00AC0FC9">
        <w:t>excepting</w:t>
      </w:r>
      <w:r>
        <w:t xml:space="preserve"> the </w:t>
      </w:r>
      <w:r w:rsidR="00AC0FC9">
        <w:t>total public debt change, calculated by the logarithm of total public debt. Such effects are absorbed by dummies. Coefficients for Chile, Indonesia, Mexico, Peru, Russia, Thailand and Turkey are considerably negative and statistically significant. On the other hand Basic Materials and Energy sectors, show positive sign and are significant too.</w:t>
      </w:r>
    </w:p>
    <w:p w14:paraId="5B104FB5" w14:textId="4CB5D7AD" w:rsidR="00AC0FC9" w:rsidRDefault="00AC0FC9" w:rsidP="0000732A">
      <w:r>
        <w:t>In the last column we include the VIX Index as control for global volatility. However, results do not change in any sense, nor the signs, neither the statistically significance.</w:t>
      </w:r>
    </w:p>
    <w:p w14:paraId="48785DDE" w14:textId="77777777" w:rsidR="00AC0FC9" w:rsidRDefault="00AC0FC9" w:rsidP="0000732A"/>
    <w:p w14:paraId="771FF35E" w14:textId="5F6FEA77" w:rsidR="00AC0FC9" w:rsidRPr="00AC0FC9" w:rsidRDefault="00AC0FC9" w:rsidP="00AC0FC9">
      <w:pPr>
        <w:pStyle w:val="Ttulo2"/>
        <w:rPr>
          <w:lang w:val="en-US"/>
        </w:rPr>
      </w:pPr>
      <w:r w:rsidRPr="00AC0FC9">
        <w:rPr>
          <w:lang w:val="en-US"/>
        </w:rPr>
        <w:lastRenderedPageBreak/>
        <w:t>Robustness checks</w:t>
      </w:r>
    </w:p>
    <w:p w14:paraId="7042B26B" w14:textId="77777777" w:rsidR="00AC0FC9" w:rsidRDefault="00AC0FC9" w:rsidP="00AC0FC9">
      <w:pPr>
        <w:rPr>
          <w:lang w:val="es-ES"/>
        </w:rPr>
      </w:pPr>
    </w:p>
    <w:p w14:paraId="49C3A0DE" w14:textId="57351FBA" w:rsidR="00AC0FC9" w:rsidRPr="00AC0FC9" w:rsidRDefault="00AC0FC9" w:rsidP="00AC0FC9">
      <w:r w:rsidRPr="00AC0FC9">
        <w:t xml:space="preserve">As this is a working paper, we are considering different robustness checks. </w:t>
      </w:r>
      <w:r>
        <w:t xml:space="preserve">We consider that some of our firm specific variables could have endogeneity problems. On the other hand, </w:t>
      </w:r>
      <w:r w:rsidR="008A6CF2">
        <w:t>findings on the effect of the total public debt deserve</w:t>
      </w:r>
      <w:r>
        <w:t xml:space="preserve"> deeper analysis.</w:t>
      </w:r>
      <w:r w:rsidR="008A6CF2">
        <w:t xml:space="preserve"> The effect of the level of public debt is counter intuitive; several research before show the impact of sovereign ratings on the corporate spreads, as cited previously in literature review.</w:t>
      </w:r>
    </w:p>
    <w:p w14:paraId="6382D2DC" w14:textId="77777777" w:rsidR="00AC0FC9" w:rsidRPr="003A593B" w:rsidRDefault="00AC0FC9" w:rsidP="0000732A"/>
    <w:p w14:paraId="34733FD9" w14:textId="77777777" w:rsidR="008A6CF2" w:rsidRDefault="008A6CF2" w:rsidP="008A6CF2">
      <w:pPr>
        <w:pStyle w:val="Ttulo1"/>
        <w:rPr>
          <w:lang w:val="en-US"/>
        </w:rPr>
      </w:pPr>
      <w:r w:rsidRPr="009641ED">
        <w:rPr>
          <w:lang w:val="en-US"/>
        </w:rPr>
        <w:t>Conclusions</w:t>
      </w:r>
    </w:p>
    <w:p w14:paraId="446546EB" w14:textId="77777777" w:rsidR="008A6CF2" w:rsidRPr="009641ED" w:rsidRDefault="008A6CF2" w:rsidP="008A6CF2"/>
    <w:p w14:paraId="438FAF03" w14:textId="2722A929" w:rsidR="00EF6D6A" w:rsidRDefault="00EF6D6A" w:rsidP="00D520A3">
      <w:r>
        <w:t>Country risk</w:t>
      </w:r>
      <w:r w:rsidR="004758CC">
        <w:t xml:space="preserve"> is an important decision variable when investors look for investments in emerging markets; particularly when markets are segmented. This kind of markets makes more difficult to investors diversifying risk. Variables related with </w:t>
      </w:r>
      <w:r w:rsidR="008A6CF2">
        <w:t xml:space="preserve">firm specific factors </w:t>
      </w:r>
      <w:r w:rsidR="004758CC">
        <w:t xml:space="preserve">and macroeconomic fundamentals have been found to be determinants of the country risk premiums. </w:t>
      </w:r>
      <w:r w:rsidR="00005E04">
        <w:t xml:space="preserve">Our </w:t>
      </w:r>
      <w:r w:rsidR="008A6CF2">
        <w:t>dataset and the model we employ</w:t>
      </w:r>
      <w:r w:rsidR="00005E04">
        <w:t xml:space="preserve"> </w:t>
      </w:r>
      <w:r w:rsidR="008A6CF2">
        <w:t>show that</w:t>
      </w:r>
      <w:r w:rsidR="00005E04">
        <w:t xml:space="preserve"> country and industry specific variables </w:t>
      </w:r>
      <w:r w:rsidR="008A6CF2">
        <w:t>persist, and point</w:t>
      </w:r>
      <w:r w:rsidR="00005E04">
        <w:t xml:space="preserve"> </w:t>
      </w:r>
      <w:r w:rsidR="008A6CF2">
        <w:t>out the necessity for a different</w:t>
      </w:r>
      <w:r w:rsidR="00005E04">
        <w:t xml:space="preserve"> perspective </w:t>
      </w:r>
      <w:r w:rsidR="008A6CF2">
        <w:t xml:space="preserve">to treat the topic </w:t>
      </w:r>
      <w:r w:rsidR="00005E04">
        <w:t>of the country risk.</w:t>
      </w:r>
    </w:p>
    <w:p w14:paraId="5B8F2EF7" w14:textId="1EE2DD05" w:rsidR="00005E04" w:rsidRDefault="00005E04" w:rsidP="00D520A3">
      <w:r>
        <w:t>It has been shown that fiscal and monetary policy towards financial healthy of the countries are mechanism to reduce country risk</w:t>
      </w:r>
      <w:r w:rsidR="008A6CF2">
        <w:t>, since better ratings and lower financial risk, positively impact private issues</w:t>
      </w:r>
      <w:r>
        <w:t xml:space="preserve">. They entails to a better public debt management, </w:t>
      </w:r>
      <w:r w:rsidR="008A6CF2">
        <w:t xml:space="preserve">helpfully </w:t>
      </w:r>
      <w:r>
        <w:t xml:space="preserve">affecting </w:t>
      </w:r>
      <w:r w:rsidR="008A6CF2">
        <w:t>corporates</w:t>
      </w:r>
      <w:r>
        <w:t>. Howev</w:t>
      </w:r>
      <w:bookmarkStart w:id="0" w:name="_GoBack"/>
      <w:bookmarkEnd w:id="0"/>
      <w:r>
        <w:t>er, it is possible to find some missed variables, or even interactions, that better explain differences in country risk premium, for countries in similar conditions of economic development.</w:t>
      </w:r>
    </w:p>
    <w:p w14:paraId="2254A2CD" w14:textId="77777777" w:rsidR="009D25CD" w:rsidRDefault="009D25CD" w:rsidP="00D520A3"/>
    <w:p w14:paraId="09128101" w14:textId="77777777" w:rsidR="00EF6D6A" w:rsidRPr="007E011B" w:rsidRDefault="00EF6D6A" w:rsidP="00D520A3"/>
    <w:p w14:paraId="3B1C5AD1" w14:textId="12A30FF6" w:rsidR="007E011B" w:rsidRPr="00D762BF" w:rsidRDefault="007E011B" w:rsidP="00D520A3">
      <w:pPr>
        <w:rPr>
          <w:b/>
          <w:sz w:val="28"/>
          <w:szCs w:val="28"/>
        </w:rPr>
      </w:pPr>
      <w:r w:rsidRPr="00D762BF">
        <w:rPr>
          <w:b/>
          <w:sz w:val="28"/>
          <w:szCs w:val="28"/>
        </w:rPr>
        <w:t>References</w:t>
      </w:r>
    </w:p>
    <w:p w14:paraId="14A81A2D" w14:textId="23388243" w:rsidR="007E011B" w:rsidRDefault="007E011B" w:rsidP="00D520A3"/>
    <w:p w14:paraId="64E9EB9C" w14:textId="77777777" w:rsidR="00DA7DDA" w:rsidRPr="00DA7DDA" w:rsidRDefault="00A4767C" w:rsidP="00DA7DDA">
      <w:pPr>
        <w:pStyle w:val="Bibliografa"/>
      </w:pPr>
      <w:r>
        <w:lastRenderedPageBreak/>
        <w:fldChar w:fldCharType="begin"/>
      </w:r>
      <w:r w:rsidR="00DA7DDA">
        <w:instrText xml:space="preserve"> ADDIN ZOTERO_BIBL {"custom":[]} </w:instrText>
      </w:r>
      <w:r>
        <w:fldChar w:fldCharType="separate"/>
      </w:r>
      <w:proofErr w:type="spellStart"/>
      <w:proofErr w:type="gramStart"/>
      <w:r w:rsidR="00DA7DDA" w:rsidRPr="00DA7DDA">
        <w:t>Ağca</w:t>
      </w:r>
      <w:proofErr w:type="spellEnd"/>
      <w:r w:rsidR="00DA7DDA" w:rsidRPr="00DA7DDA">
        <w:t xml:space="preserve">, Ş., &amp; </w:t>
      </w:r>
      <w:proofErr w:type="spellStart"/>
      <w:r w:rsidR="00DA7DDA" w:rsidRPr="00DA7DDA">
        <w:t>Celasun</w:t>
      </w:r>
      <w:proofErr w:type="spellEnd"/>
      <w:r w:rsidR="00DA7DDA" w:rsidRPr="00DA7DDA">
        <w:t>, O. (2009).</w:t>
      </w:r>
      <w:proofErr w:type="gramEnd"/>
      <w:r w:rsidR="00DA7DDA" w:rsidRPr="00DA7DDA">
        <w:t xml:space="preserve"> How Does Public External Debt Affect Corporate Borrowing Costs in Emerging Markets? </w:t>
      </w:r>
      <w:proofErr w:type="gramStart"/>
      <w:r w:rsidR="00DA7DDA" w:rsidRPr="00DA7DDA">
        <w:t>International Monetary Fund, Western Hemisphere Department.</w:t>
      </w:r>
      <w:proofErr w:type="gramEnd"/>
    </w:p>
    <w:p w14:paraId="7D00A32C" w14:textId="77777777" w:rsidR="00DA7DDA" w:rsidRPr="00DA7DDA" w:rsidRDefault="00DA7DDA" w:rsidP="00DA7DDA">
      <w:pPr>
        <w:pStyle w:val="Bibliografa"/>
      </w:pPr>
      <w:proofErr w:type="spellStart"/>
      <w:proofErr w:type="gramStart"/>
      <w:r w:rsidRPr="00DA7DDA">
        <w:t>Baek</w:t>
      </w:r>
      <w:proofErr w:type="spellEnd"/>
      <w:r w:rsidRPr="00DA7DDA">
        <w:t xml:space="preserve">, I.-M., </w:t>
      </w:r>
      <w:proofErr w:type="spellStart"/>
      <w:r w:rsidRPr="00DA7DDA">
        <w:t>Bandopadhyaya</w:t>
      </w:r>
      <w:proofErr w:type="spellEnd"/>
      <w:r w:rsidRPr="00DA7DDA">
        <w:t>, A., &amp; Du, C. (2005).</w:t>
      </w:r>
      <w:proofErr w:type="gramEnd"/>
      <w:r w:rsidRPr="00DA7DDA">
        <w:t xml:space="preserve"> Determinants of market-assessed sovereign risk: Economic fundamentals or market risk appetite? </w:t>
      </w:r>
      <w:r w:rsidRPr="00DA7DDA">
        <w:rPr>
          <w:i/>
          <w:iCs/>
        </w:rPr>
        <w:t>Journal of International Money and Finance</w:t>
      </w:r>
      <w:r w:rsidRPr="00DA7DDA">
        <w:t xml:space="preserve">, </w:t>
      </w:r>
      <w:r w:rsidRPr="00DA7DDA">
        <w:rPr>
          <w:i/>
          <w:iCs/>
        </w:rPr>
        <w:t>24</w:t>
      </w:r>
      <w:r w:rsidRPr="00DA7DDA">
        <w:t>(4), 533–548.</w:t>
      </w:r>
    </w:p>
    <w:p w14:paraId="1C80D795" w14:textId="77777777" w:rsidR="00DA7DDA" w:rsidRPr="00DA7DDA" w:rsidRDefault="00DA7DDA" w:rsidP="00DA7DDA">
      <w:pPr>
        <w:pStyle w:val="Bibliografa"/>
      </w:pPr>
      <w:proofErr w:type="gramStart"/>
      <w:r w:rsidRPr="00DA7DDA">
        <w:t xml:space="preserve">Baldacci, E., Gupta, S., &amp; </w:t>
      </w:r>
      <w:proofErr w:type="spellStart"/>
      <w:r w:rsidRPr="00DA7DDA">
        <w:t>Mati</w:t>
      </w:r>
      <w:proofErr w:type="spellEnd"/>
      <w:r w:rsidRPr="00DA7DDA">
        <w:t>, A. (2008).</w:t>
      </w:r>
      <w:proofErr w:type="gramEnd"/>
      <w:r w:rsidRPr="00DA7DDA">
        <w:t xml:space="preserve"> </w:t>
      </w:r>
      <w:r w:rsidRPr="00DA7DDA">
        <w:rPr>
          <w:i/>
          <w:iCs/>
        </w:rPr>
        <w:t xml:space="preserve">Is it (Still) Mostly Fiscal? </w:t>
      </w:r>
      <w:proofErr w:type="gramStart"/>
      <w:r w:rsidRPr="00DA7DDA">
        <w:rPr>
          <w:i/>
          <w:iCs/>
        </w:rPr>
        <w:t>Determinants of Sovereign Spreads in Emerging Markets</w:t>
      </w:r>
      <w:r w:rsidRPr="00DA7DDA">
        <w:t xml:space="preserve"> (SSRN Scholarly Paper No.</w:t>
      </w:r>
      <w:proofErr w:type="gramEnd"/>
      <w:r w:rsidRPr="00DA7DDA">
        <w:t xml:space="preserve"> ID 1316727). Rochester, NY: Social Science Research Network. </w:t>
      </w:r>
      <w:proofErr w:type="spellStart"/>
      <w:r w:rsidRPr="00DA7DDA">
        <w:t>Recuperado</w:t>
      </w:r>
      <w:proofErr w:type="spellEnd"/>
      <w:r w:rsidRPr="00DA7DDA">
        <w:t xml:space="preserve"> a </w:t>
      </w:r>
      <w:proofErr w:type="spellStart"/>
      <w:r w:rsidRPr="00DA7DDA">
        <w:t>partir</w:t>
      </w:r>
      <w:proofErr w:type="spellEnd"/>
      <w:r w:rsidRPr="00DA7DDA">
        <w:t xml:space="preserve"> de http://papers.ssrn.com/abstract=1316727</w:t>
      </w:r>
    </w:p>
    <w:p w14:paraId="15DB27B4" w14:textId="77777777" w:rsidR="00DA7DDA" w:rsidRPr="00DA7DDA" w:rsidRDefault="00DA7DDA" w:rsidP="00DA7DDA">
      <w:pPr>
        <w:pStyle w:val="Bibliografa"/>
        <w:rPr>
          <w:lang w:val="es-CO"/>
        </w:rPr>
      </w:pPr>
      <w:proofErr w:type="spellStart"/>
      <w:proofErr w:type="gramStart"/>
      <w:r w:rsidRPr="00DA7DDA">
        <w:t>Bellas</w:t>
      </w:r>
      <w:proofErr w:type="spellEnd"/>
      <w:r w:rsidRPr="00DA7DDA">
        <w:t xml:space="preserve">, D., </w:t>
      </w:r>
      <w:proofErr w:type="spellStart"/>
      <w:r w:rsidRPr="00DA7DDA">
        <w:t>Papaioannou</w:t>
      </w:r>
      <w:proofErr w:type="spellEnd"/>
      <w:r w:rsidRPr="00DA7DDA">
        <w:t xml:space="preserve">, M. G., &amp; </w:t>
      </w:r>
      <w:proofErr w:type="spellStart"/>
      <w:r w:rsidRPr="00DA7DDA">
        <w:t>Petrova</w:t>
      </w:r>
      <w:proofErr w:type="spellEnd"/>
      <w:r w:rsidRPr="00DA7DDA">
        <w:t>, I. (2010).</w:t>
      </w:r>
      <w:proofErr w:type="gramEnd"/>
      <w:r w:rsidRPr="00DA7DDA">
        <w:t xml:space="preserve"> Determinants of emerging market sovereign bond spreads: fundamentals vs financial stress. </w:t>
      </w:r>
      <w:r w:rsidRPr="00DA7DDA">
        <w:rPr>
          <w:lang w:val="es-CO"/>
        </w:rPr>
        <w:t xml:space="preserve">International </w:t>
      </w:r>
      <w:proofErr w:type="spellStart"/>
      <w:r w:rsidRPr="00DA7DDA">
        <w:rPr>
          <w:lang w:val="es-CO"/>
        </w:rPr>
        <w:t>Monetary</w:t>
      </w:r>
      <w:proofErr w:type="spellEnd"/>
      <w:r w:rsidRPr="00DA7DDA">
        <w:rPr>
          <w:lang w:val="es-CO"/>
        </w:rPr>
        <w:t xml:space="preserve"> </w:t>
      </w:r>
      <w:proofErr w:type="spellStart"/>
      <w:r w:rsidRPr="00DA7DDA">
        <w:rPr>
          <w:lang w:val="es-CO"/>
        </w:rPr>
        <w:t>Fund</w:t>
      </w:r>
      <w:proofErr w:type="spellEnd"/>
      <w:r w:rsidRPr="00DA7DDA">
        <w:rPr>
          <w:lang w:val="es-CO"/>
        </w:rPr>
        <w:t>. Recuperado a partir de http://www.researchgate.net/publication/228309895_Determinants_of_Emerging_Market_Sovereign_Bond_Spreads_Fundamentals_vs_Financial_Stress/file/60b7d52d56afc18718.pdf</w:t>
      </w:r>
    </w:p>
    <w:p w14:paraId="138EDD30" w14:textId="77777777" w:rsidR="00DA7DDA" w:rsidRPr="00DA7DDA" w:rsidRDefault="00DA7DDA" w:rsidP="00DA7DDA">
      <w:pPr>
        <w:pStyle w:val="Bibliografa"/>
        <w:rPr>
          <w:lang w:val="es-CO"/>
        </w:rPr>
      </w:pPr>
      <w:proofErr w:type="spellStart"/>
      <w:r w:rsidRPr="00DA7DDA">
        <w:t>Borensztein</w:t>
      </w:r>
      <w:proofErr w:type="spellEnd"/>
      <w:r w:rsidRPr="00DA7DDA">
        <w:t xml:space="preserve">, E., Cowan, K., &amp; Valenzuela, P. (2006). The sovereign ceiling lite and bank credit ratings in emerging markets economies. </w:t>
      </w:r>
      <w:r w:rsidRPr="00DA7DDA">
        <w:rPr>
          <w:lang w:val="es-CO"/>
        </w:rPr>
        <w:t xml:space="preserve">Banco Central de Chile y BID, Washington, DC. </w:t>
      </w:r>
      <w:proofErr w:type="spellStart"/>
      <w:r w:rsidRPr="00DA7DDA">
        <w:rPr>
          <w:lang w:val="es-CO"/>
        </w:rPr>
        <w:t>Mimeo</w:t>
      </w:r>
      <w:proofErr w:type="spellEnd"/>
      <w:r w:rsidRPr="00DA7DDA">
        <w:rPr>
          <w:lang w:val="es-CO"/>
        </w:rPr>
        <w:t>. Recuperado a partir de http://www.webmeets.com/files/papers/LACEA-LAMES/2006/790/Bank%20Credit%20Ratings%20in%20Emerging%20Economies.pdf</w:t>
      </w:r>
    </w:p>
    <w:p w14:paraId="6AC84823" w14:textId="77777777" w:rsidR="00DA7DDA" w:rsidRPr="00DA7DDA" w:rsidRDefault="00DA7DDA" w:rsidP="00DA7DDA">
      <w:pPr>
        <w:pStyle w:val="Bibliografa"/>
        <w:rPr>
          <w:lang w:val="es-CO"/>
        </w:rPr>
      </w:pPr>
      <w:r w:rsidRPr="00DA7DDA">
        <w:rPr>
          <w:lang w:val="es-CO"/>
        </w:rPr>
        <w:lastRenderedPageBreak/>
        <w:t xml:space="preserve">Briceño, C., &amp; Rivero, J. (2012, junio). </w:t>
      </w:r>
      <w:r w:rsidRPr="00DA7DDA">
        <w:rPr>
          <w:i/>
          <w:iCs/>
          <w:lang w:val="es-CO"/>
        </w:rPr>
        <w:t>Análisis de la diferencia entre el rendimiento al vencimiento de los bonos corporativos y soberanos en mercados emergentes: caso Brasil</w:t>
      </w:r>
      <w:r w:rsidRPr="00DA7DDA">
        <w:rPr>
          <w:lang w:val="es-CO"/>
        </w:rPr>
        <w:t>. Instituto de Estudios Superiores en Administración, Caracas.</w:t>
      </w:r>
    </w:p>
    <w:p w14:paraId="20844E6B" w14:textId="77777777" w:rsidR="00DA7DDA" w:rsidRPr="00DA7DDA" w:rsidRDefault="00DA7DDA" w:rsidP="00DA7DDA">
      <w:pPr>
        <w:pStyle w:val="Bibliografa"/>
        <w:rPr>
          <w:lang w:val="es-CO"/>
        </w:rPr>
      </w:pPr>
      <w:proofErr w:type="spellStart"/>
      <w:r w:rsidRPr="00DA7DDA">
        <w:rPr>
          <w:lang w:val="es-CO"/>
        </w:rPr>
        <w:t>Caceres</w:t>
      </w:r>
      <w:proofErr w:type="spellEnd"/>
      <w:r w:rsidRPr="00DA7DDA">
        <w:rPr>
          <w:lang w:val="es-CO"/>
        </w:rPr>
        <w:t xml:space="preserve">, C., </w:t>
      </w:r>
      <w:proofErr w:type="spellStart"/>
      <w:r w:rsidRPr="00DA7DDA">
        <w:rPr>
          <w:lang w:val="es-CO"/>
        </w:rPr>
        <w:t>Guzzo</w:t>
      </w:r>
      <w:proofErr w:type="spellEnd"/>
      <w:r w:rsidRPr="00DA7DDA">
        <w:rPr>
          <w:lang w:val="es-CO"/>
        </w:rPr>
        <w:t xml:space="preserve">, V., &amp; Segoviano, M. (2010). </w:t>
      </w:r>
      <w:r w:rsidRPr="00DA7DDA">
        <w:rPr>
          <w:i/>
          <w:iCs/>
        </w:rPr>
        <w:t>Sovereign spreads: global risk aversion, contagion or fundamentals?</w:t>
      </w:r>
      <w:r w:rsidRPr="00DA7DDA">
        <w:t xml:space="preserve"> </w:t>
      </w:r>
      <w:r w:rsidRPr="00DA7DDA">
        <w:rPr>
          <w:lang w:val="es-CO"/>
        </w:rPr>
        <w:t xml:space="preserve">International </w:t>
      </w:r>
      <w:proofErr w:type="spellStart"/>
      <w:r w:rsidRPr="00DA7DDA">
        <w:rPr>
          <w:lang w:val="es-CO"/>
        </w:rPr>
        <w:t>Monetary</w:t>
      </w:r>
      <w:proofErr w:type="spellEnd"/>
      <w:r w:rsidRPr="00DA7DDA">
        <w:rPr>
          <w:lang w:val="es-CO"/>
        </w:rPr>
        <w:t xml:space="preserve"> </w:t>
      </w:r>
      <w:proofErr w:type="spellStart"/>
      <w:r w:rsidRPr="00DA7DDA">
        <w:rPr>
          <w:lang w:val="es-CO"/>
        </w:rPr>
        <w:t>Fund</w:t>
      </w:r>
      <w:proofErr w:type="spellEnd"/>
      <w:r w:rsidRPr="00DA7DDA">
        <w:rPr>
          <w:lang w:val="es-CO"/>
        </w:rPr>
        <w:t>. Recuperado a partir de http://econpapers.repec.org/paper/imfimfwpa/10_2f120.htm</w:t>
      </w:r>
    </w:p>
    <w:p w14:paraId="0EC12156" w14:textId="77777777" w:rsidR="00DA7DDA" w:rsidRPr="00DA7DDA" w:rsidRDefault="00DA7DDA" w:rsidP="00DA7DDA">
      <w:pPr>
        <w:pStyle w:val="Bibliografa"/>
      </w:pPr>
      <w:proofErr w:type="gramStart"/>
      <w:r w:rsidRPr="00DA7DDA">
        <w:t>Cantor, R., &amp; Packer, F. (1996).</w:t>
      </w:r>
      <w:proofErr w:type="gramEnd"/>
      <w:r w:rsidRPr="00DA7DDA">
        <w:t xml:space="preserve"> </w:t>
      </w:r>
      <w:proofErr w:type="gramStart"/>
      <w:r w:rsidRPr="00DA7DDA">
        <w:t>Determinants and impact of sovereign credit ratings.</w:t>
      </w:r>
      <w:proofErr w:type="gramEnd"/>
      <w:r w:rsidRPr="00DA7DDA">
        <w:t xml:space="preserve"> </w:t>
      </w:r>
      <w:r w:rsidRPr="00DA7DDA">
        <w:rPr>
          <w:i/>
          <w:iCs/>
        </w:rPr>
        <w:t>The Journal of Fixed Income</w:t>
      </w:r>
      <w:r w:rsidRPr="00DA7DDA">
        <w:t xml:space="preserve">, </w:t>
      </w:r>
      <w:r w:rsidRPr="00DA7DDA">
        <w:rPr>
          <w:i/>
          <w:iCs/>
        </w:rPr>
        <w:t>6</w:t>
      </w:r>
      <w:r w:rsidRPr="00DA7DDA">
        <w:t>(3), 76–91.</w:t>
      </w:r>
    </w:p>
    <w:p w14:paraId="22289824" w14:textId="77777777" w:rsidR="00DA7DDA" w:rsidRPr="00DA7DDA" w:rsidRDefault="00DA7DDA" w:rsidP="00DA7DDA">
      <w:pPr>
        <w:pStyle w:val="Bibliografa"/>
      </w:pPr>
      <w:proofErr w:type="spellStart"/>
      <w:proofErr w:type="gramStart"/>
      <w:r w:rsidRPr="00DA7DDA">
        <w:t>Cavallo</w:t>
      </w:r>
      <w:proofErr w:type="spellEnd"/>
      <w:r w:rsidRPr="00DA7DDA">
        <w:t>, E. A., &amp; Valenzuela, P. (2010).</w:t>
      </w:r>
      <w:proofErr w:type="gramEnd"/>
      <w:r w:rsidRPr="00DA7DDA">
        <w:t xml:space="preserve"> The determinants of corporate risk in emerging markets: an option-adjusted spread analysis. </w:t>
      </w:r>
      <w:r w:rsidRPr="00DA7DDA">
        <w:rPr>
          <w:i/>
          <w:iCs/>
        </w:rPr>
        <w:t>International Journal of Finance &amp; Economics</w:t>
      </w:r>
      <w:r w:rsidRPr="00DA7DDA">
        <w:t xml:space="preserve">, </w:t>
      </w:r>
      <w:r w:rsidRPr="00DA7DDA">
        <w:rPr>
          <w:i/>
          <w:iCs/>
        </w:rPr>
        <w:t>15</w:t>
      </w:r>
      <w:r w:rsidRPr="00DA7DDA">
        <w:t>(1), 59–74.</w:t>
      </w:r>
    </w:p>
    <w:p w14:paraId="0A6163E4" w14:textId="77777777" w:rsidR="00DA7DDA" w:rsidRPr="00DA7DDA" w:rsidRDefault="00DA7DDA" w:rsidP="00DA7DDA">
      <w:pPr>
        <w:pStyle w:val="Bibliografa"/>
      </w:pPr>
      <w:proofErr w:type="spellStart"/>
      <w:proofErr w:type="gramStart"/>
      <w:r w:rsidRPr="00DA7DDA">
        <w:t>Celasun</w:t>
      </w:r>
      <w:proofErr w:type="spellEnd"/>
      <w:r w:rsidRPr="00DA7DDA">
        <w:t>, O., &amp; Harms, P. (2011).</w:t>
      </w:r>
      <w:proofErr w:type="gramEnd"/>
      <w:r w:rsidRPr="00DA7DDA">
        <w:t xml:space="preserve"> </w:t>
      </w:r>
      <w:proofErr w:type="gramStart"/>
      <w:r w:rsidRPr="00DA7DDA">
        <w:t>Boon or burden?</w:t>
      </w:r>
      <w:proofErr w:type="gramEnd"/>
      <w:r w:rsidRPr="00DA7DDA">
        <w:t xml:space="preserve"> </w:t>
      </w:r>
      <w:proofErr w:type="gramStart"/>
      <w:r w:rsidRPr="00DA7DDA">
        <w:t>The effect of private sector debt on the risk of sovereign default in developing countries.</w:t>
      </w:r>
      <w:proofErr w:type="gramEnd"/>
      <w:r w:rsidRPr="00DA7DDA">
        <w:t xml:space="preserve"> </w:t>
      </w:r>
      <w:r w:rsidRPr="00DA7DDA">
        <w:rPr>
          <w:i/>
          <w:iCs/>
        </w:rPr>
        <w:t>Economic Inquiry</w:t>
      </w:r>
      <w:r w:rsidRPr="00DA7DDA">
        <w:t xml:space="preserve">, </w:t>
      </w:r>
      <w:r w:rsidRPr="00DA7DDA">
        <w:rPr>
          <w:i/>
          <w:iCs/>
        </w:rPr>
        <w:t>49</w:t>
      </w:r>
      <w:r w:rsidRPr="00DA7DDA">
        <w:t>(1), 70–88.</w:t>
      </w:r>
    </w:p>
    <w:p w14:paraId="5541C7E4" w14:textId="77777777" w:rsidR="00DA7DDA" w:rsidRPr="00DA7DDA" w:rsidRDefault="00DA7DDA" w:rsidP="00DA7DDA">
      <w:pPr>
        <w:pStyle w:val="Bibliografa"/>
      </w:pPr>
      <w:proofErr w:type="gramStart"/>
      <w:r w:rsidRPr="00DA7DDA">
        <w:t>Christopher, R., Kim, S.-J., &amp; Wu, E. (2012).</w:t>
      </w:r>
      <w:proofErr w:type="gramEnd"/>
      <w:r w:rsidRPr="00DA7DDA">
        <w:t xml:space="preserve"> Do sovereign credit ratings influence regional stock and bond market interdependencies in emerging countries? </w:t>
      </w:r>
      <w:r w:rsidRPr="00DA7DDA">
        <w:rPr>
          <w:i/>
          <w:iCs/>
        </w:rPr>
        <w:t>Journal of International Financial Markets, Institutions and Money</w:t>
      </w:r>
      <w:r w:rsidRPr="00DA7DDA">
        <w:t xml:space="preserve">, </w:t>
      </w:r>
      <w:r w:rsidRPr="00DA7DDA">
        <w:rPr>
          <w:i/>
          <w:iCs/>
        </w:rPr>
        <w:t>22</w:t>
      </w:r>
      <w:r w:rsidRPr="00DA7DDA">
        <w:t>(4), 1070–1089.</w:t>
      </w:r>
    </w:p>
    <w:p w14:paraId="579E5A28" w14:textId="77777777" w:rsidR="00DA7DDA" w:rsidRPr="00DA7DDA" w:rsidRDefault="00DA7DDA" w:rsidP="00DA7DDA">
      <w:pPr>
        <w:pStyle w:val="Bibliografa"/>
      </w:pPr>
      <w:proofErr w:type="spellStart"/>
      <w:proofErr w:type="gramStart"/>
      <w:r w:rsidRPr="00DA7DDA">
        <w:t>Cuadra</w:t>
      </w:r>
      <w:proofErr w:type="spellEnd"/>
      <w:r w:rsidRPr="00DA7DDA">
        <w:t xml:space="preserve">, G., Sanchez, J. M., &amp; </w:t>
      </w:r>
      <w:proofErr w:type="spellStart"/>
      <w:r w:rsidRPr="00DA7DDA">
        <w:t>Sapriza</w:t>
      </w:r>
      <w:proofErr w:type="spellEnd"/>
      <w:r w:rsidRPr="00DA7DDA">
        <w:t>, H. (2010).</w:t>
      </w:r>
      <w:proofErr w:type="gramEnd"/>
      <w:r w:rsidRPr="00DA7DDA">
        <w:t xml:space="preserve"> Fiscal policy and default risk in emerging markets. </w:t>
      </w:r>
      <w:r w:rsidRPr="00DA7DDA">
        <w:rPr>
          <w:i/>
          <w:iCs/>
        </w:rPr>
        <w:t>Review of Economic Dynamics</w:t>
      </w:r>
      <w:r w:rsidRPr="00DA7DDA">
        <w:t xml:space="preserve">, </w:t>
      </w:r>
      <w:r w:rsidRPr="00DA7DDA">
        <w:rPr>
          <w:i/>
          <w:iCs/>
        </w:rPr>
        <w:t>13</w:t>
      </w:r>
      <w:r w:rsidRPr="00DA7DDA">
        <w:t>(2), 452–469.</w:t>
      </w:r>
    </w:p>
    <w:p w14:paraId="70F592AF" w14:textId="77777777" w:rsidR="00DA7DDA" w:rsidRPr="00DA7DDA" w:rsidRDefault="00DA7DDA" w:rsidP="00DA7DDA">
      <w:pPr>
        <w:pStyle w:val="Bibliografa"/>
      </w:pPr>
      <w:proofErr w:type="spellStart"/>
      <w:proofErr w:type="gramStart"/>
      <w:r w:rsidRPr="00DA7DDA">
        <w:t>Dahlquist</w:t>
      </w:r>
      <w:proofErr w:type="spellEnd"/>
      <w:r w:rsidRPr="00DA7DDA">
        <w:t xml:space="preserve">, M., &amp; </w:t>
      </w:r>
      <w:proofErr w:type="spellStart"/>
      <w:r w:rsidRPr="00DA7DDA">
        <w:t>Hasseltoft</w:t>
      </w:r>
      <w:proofErr w:type="spellEnd"/>
      <w:r w:rsidRPr="00DA7DDA">
        <w:t>, H. (2013).</w:t>
      </w:r>
      <w:proofErr w:type="gramEnd"/>
      <w:r w:rsidRPr="00DA7DDA">
        <w:t xml:space="preserve"> </w:t>
      </w:r>
      <w:proofErr w:type="gramStart"/>
      <w:r w:rsidRPr="00DA7DDA">
        <w:t xml:space="preserve">International Bond Risk </w:t>
      </w:r>
      <w:proofErr w:type="spellStart"/>
      <w:r w:rsidRPr="00DA7DDA">
        <w:t>Premia</w:t>
      </w:r>
      <w:proofErr w:type="spellEnd"/>
      <w:r w:rsidRPr="00DA7DDA">
        <w:t>.</w:t>
      </w:r>
      <w:proofErr w:type="gramEnd"/>
      <w:r w:rsidRPr="00DA7DDA">
        <w:t xml:space="preserve"> </w:t>
      </w:r>
      <w:r w:rsidRPr="00DA7DDA">
        <w:rPr>
          <w:i/>
          <w:iCs/>
        </w:rPr>
        <w:t>Journal of International Economics</w:t>
      </w:r>
      <w:r w:rsidRPr="00DA7DDA">
        <w:t xml:space="preserve">, </w:t>
      </w:r>
      <w:r w:rsidRPr="00DA7DDA">
        <w:rPr>
          <w:i/>
          <w:iCs/>
        </w:rPr>
        <w:t>90</w:t>
      </w:r>
      <w:r w:rsidRPr="00DA7DDA">
        <w:t>(1), 17-32. doi:10.1016/j.jinteco.2012.11.008</w:t>
      </w:r>
    </w:p>
    <w:p w14:paraId="180941D5" w14:textId="77777777" w:rsidR="00DA7DDA" w:rsidRPr="00DA7DDA" w:rsidRDefault="00DA7DDA" w:rsidP="00DA7DDA">
      <w:pPr>
        <w:pStyle w:val="Bibliografa"/>
      </w:pPr>
      <w:proofErr w:type="gramStart"/>
      <w:r w:rsidRPr="00DA7DDA">
        <w:t>Durbin, E., &amp; Ng, D. (2005).</w:t>
      </w:r>
      <w:proofErr w:type="gramEnd"/>
      <w:r w:rsidRPr="00DA7DDA">
        <w:t xml:space="preserve"> </w:t>
      </w:r>
      <w:proofErr w:type="gramStart"/>
      <w:r w:rsidRPr="00DA7DDA">
        <w:t>The sovereign ceiling and emerging market corporate bond spreads.</w:t>
      </w:r>
      <w:proofErr w:type="gramEnd"/>
      <w:r w:rsidRPr="00DA7DDA">
        <w:t xml:space="preserve"> </w:t>
      </w:r>
      <w:r w:rsidRPr="00DA7DDA">
        <w:rPr>
          <w:i/>
          <w:iCs/>
        </w:rPr>
        <w:t>Journal of International Money and Finance</w:t>
      </w:r>
      <w:r w:rsidRPr="00DA7DDA">
        <w:t xml:space="preserve">, </w:t>
      </w:r>
      <w:r w:rsidRPr="00DA7DDA">
        <w:rPr>
          <w:i/>
          <w:iCs/>
        </w:rPr>
        <w:t>24</w:t>
      </w:r>
      <w:r w:rsidRPr="00DA7DDA">
        <w:t>(4), 631–649.</w:t>
      </w:r>
    </w:p>
    <w:p w14:paraId="362F3E67" w14:textId="77777777" w:rsidR="00DA7DDA" w:rsidRPr="00DA7DDA" w:rsidRDefault="00DA7DDA" w:rsidP="00DA7DDA">
      <w:pPr>
        <w:pStyle w:val="Bibliografa"/>
      </w:pPr>
      <w:proofErr w:type="gramStart"/>
      <w:r w:rsidRPr="00DA7DDA">
        <w:lastRenderedPageBreak/>
        <w:t>Elton, E. J., Gruber, M. J., Agrawal, D., &amp; Mann, C. (2002).</w:t>
      </w:r>
      <w:proofErr w:type="gramEnd"/>
      <w:r w:rsidRPr="00DA7DDA">
        <w:t xml:space="preserve"> Explaining the rate spread on corporate bonds. </w:t>
      </w:r>
      <w:r w:rsidRPr="00DA7DDA">
        <w:rPr>
          <w:i/>
          <w:iCs/>
        </w:rPr>
        <w:t>The Journal of Finance</w:t>
      </w:r>
      <w:r w:rsidRPr="00DA7DDA">
        <w:t xml:space="preserve">, </w:t>
      </w:r>
      <w:r w:rsidRPr="00DA7DDA">
        <w:rPr>
          <w:i/>
          <w:iCs/>
        </w:rPr>
        <w:t>56</w:t>
      </w:r>
      <w:r w:rsidRPr="00DA7DDA">
        <w:t>(1), 247–277.</w:t>
      </w:r>
    </w:p>
    <w:p w14:paraId="4D79CDD5" w14:textId="77777777" w:rsidR="00DA7DDA" w:rsidRPr="00DA7DDA" w:rsidRDefault="00DA7DDA" w:rsidP="00DA7DDA">
      <w:pPr>
        <w:pStyle w:val="Bibliografa"/>
        <w:rPr>
          <w:lang w:val="es-CO"/>
        </w:rPr>
      </w:pPr>
      <w:proofErr w:type="spellStart"/>
      <w:r w:rsidRPr="00DA7DDA">
        <w:t>Ferrucci</w:t>
      </w:r>
      <w:proofErr w:type="spellEnd"/>
      <w:r w:rsidRPr="00DA7DDA">
        <w:t xml:space="preserve">, G. (2003). Empirical determinants of emerging market economies’ sovereign bond spreads. </w:t>
      </w:r>
      <w:r w:rsidRPr="00DA7DDA">
        <w:rPr>
          <w:lang w:val="es-CO"/>
        </w:rPr>
        <w:t xml:space="preserve">Bank of </w:t>
      </w:r>
      <w:proofErr w:type="spellStart"/>
      <w:r w:rsidRPr="00DA7DDA">
        <w:rPr>
          <w:lang w:val="es-CO"/>
        </w:rPr>
        <w:t>England</w:t>
      </w:r>
      <w:proofErr w:type="spellEnd"/>
      <w:r w:rsidRPr="00DA7DDA">
        <w:rPr>
          <w:lang w:val="es-CO"/>
        </w:rPr>
        <w:t>. Recuperado a partir de http://econpapers.repec.org/paper/boeboeewp/205.htm</w:t>
      </w:r>
    </w:p>
    <w:p w14:paraId="54DA4B1B" w14:textId="77777777" w:rsidR="00DA7DDA" w:rsidRPr="00DA7DDA" w:rsidRDefault="00DA7DDA" w:rsidP="00DA7DDA">
      <w:pPr>
        <w:pStyle w:val="Bibliografa"/>
        <w:rPr>
          <w:lang w:val="es-CO"/>
        </w:rPr>
      </w:pPr>
      <w:r w:rsidRPr="00DA7DDA">
        <w:rPr>
          <w:lang w:val="es-CO"/>
        </w:rPr>
        <w:t xml:space="preserve">Garay, U., González, M., &amp; Rosso, J. (2014). </w:t>
      </w:r>
      <w:r w:rsidRPr="00DA7DDA">
        <w:t xml:space="preserve">The cost of equity in emerging markets: the case of Latin America. </w:t>
      </w:r>
      <w:r w:rsidRPr="00DA7DDA">
        <w:rPr>
          <w:lang w:val="es-CO"/>
        </w:rPr>
        <w:t>Universidad de Los Andes.</w:t>
      </w:r>
    </w:p>
    <w:p w14:paraId="558025C5" w14:textId="77777777" w:rsidR="00DA7DDA" w:rsidRPr="00DA7DDA" w:rsidRDefault="00DA7DDA" w:rsidP="00DA7DDA">
      <w:pPr>
        <w:pStyle w:val="Bibliografa"/>
      </w:pPr>
      <w:r w:rsidRPr="00DA7DDA">
        <w:rPr>
          <w:lang w:val="es-CO"/>
        </w:rPr>
        <w:t xml:space="preserve">Grandes, M., </w:t>
      </w:r>
      <w:proofErr w:type="spellStart"/>
      <w:r w:rsidRPr="00DA7DDA">
        <w:rPr>
          <w:lang w:val="es-CO"/>
        </w:rPr>
        <w:t>Panigo</w:t>
      </w:r>
      <w:proofErr w:type="spellEnd"/>
      <w:r w:rsidRPr="00DA7DDA">
        <w:rPr>
          <w:lang w:val="es-CO"/>
        </w:rPr>
        <w:t xml:space="preserve">, D. T., &amp; </w:t>
      </w:r>
      <w:proofErr w:type="spellStart"/>
      <w:r w:rsidRPr="00DA7DDA">
        <w:rPr>
          <w:lang w:val="es-CO"/>
        </w:rPr>
        <w:t>Pasquini</w:t>
      </w:r>
      <w:proofErr w:type="spellEnd"/>
      <w:r w:rsidRPr="00DA7DDA">
        <w:rPr>
          <w:lang w:val="es-CO"/>
        </w:rPr>
        <w:t xml:space="preserve">, R. A. (2010). </w:t>
      </w:r>
      <w:proofErr w:type="gramStart"/>
      <w:r w:rsidRPr="00DA7DDA">
        <w:t>On the estimation of the cost of equity in Latin America.</w:t>
      </w:r>
      <w:proofErr w:type="gramEnd"/>
      <w:r w:rsidRPr="00DA7DDA">
        <w:t xml:space="preserve"> </w:t>
      </w:r>
      <w:proofErr w:type="gramStart"/>
      <w:r w:rsidRPr="00DA7DDA">
        <w:rPr>
          <w:i/>
          <w:iCs/>
        </w:rPr>
        <w:t>Emerging Markets Review</w:t>
      </w:r>
      <w:r w:rsidRPr="00DA7DDA">
        <w:t xml:space="preserve">, </w:t>
      </w:r>
      <w:r w:rsidRPr="00DA7DDA">
        <w:rPr>
          <w:i/>
          <w:iCs/>
        </w:rPr>
        <w:t>11</w:t>
      </w:r>
      <w:r w:rsidRPr="00DA7DDA">
        <w:t>(4), 373–389.</w:t>
      </w:r>
      <w:proofErr w:type="gramEnd"/>
    </w:p>
    <w:p w14:paraId="3035E40A" w14:textId="77777777" w:rsidR="00DA7DDA" w:rsidRPr="00DA7DDA" w:rsidRDefault="00DA7DDA" w:rsidP="00DA7DDA">
      <w:pPr>
        <w:pStyle w:val="Bibliografa"/>
      </w:pPr>
      <w:proofErr w:type="spellStart"/>
      <w:proofErr w:type="gramStart"/>
      <w:r w:rsidRPr="00DA7DDA">
        <w:t>Hilscher</w:t>
      </w:r>
      <w:proofErr w:type="spellEnd"/>
      <w:r w:rsidRPr="00DA7DDA">
        <w:t xml:space="preserve">, J., &amp; </w:t>
      </w:r>
      <w:proofErr w:type="spellStart"/>
      <w:r w:rsidRPr="00DA7DDA">
        <w:t>Nosbusch</w:t>
      </w:r>
      <w:proofErr w:type="spellEnd"/>
      <w:r w:rsidRPr="00DA7DDA">
        <w:t>, Y. (2010).</w:t>
      </w:r>
      <w:proofErr w:type="gramEnd"/>
      <w:r w:rsidRPr="00DA7DDA">
        <w:t xml:space="preserve"> Determinants of sovereign risk: Macroeconomic fundamentals and the pricing of sovereign debt*. </w:t>
      </w:r>
      <w:r w:rsidRPr="00DA7DDA">
        <w:rPr>
          <w:i/>
          <w:iCs/>
        </w:rPr>
        <w:t>Review of Finance</w:t>
      </w:r>
      <w:r w:rsidRPr="00DA7DDA">
        <w:t xml:space="preserve">, </w:t>
      </w:r>
      <w:r w:rsidRPr="00DA7DDA">
        <w:rPr>
          <w:i/>
          <w:iCs/>
        </w:rPr>
        <w:t>14</w:t>
      </w:r>
      <w:r w:rsidRPr="00DA7DDA">
        <w:t>(2), 235–262.</w:t>
      </w:r>
    </w:p>
    <w:p w14:paraId="1E7A1592" w14:textId="77777777" w:rsidR="00DA7DDA" w:rsidRPr="00DA7DDA" w:rsidRDefault="00DA7DDA" w:rsidP="00DA7DDA">
      <w:pPr>
        <w:pStyle w:val="Bibliografa"/>
      </w:pPr>
      <w:proofErr w:type="gramStart"/>
      <w:r w:rsidRPr="00DA7DDA">
        <w:t>Jaramillo, L., &amp; Weber, A. (2013).</w:t>
      </w:r>
      <w:proofErr w:type="gramEnd"/>
      <w:r w:rsidRPr="00DA7DDA">
        <w:t xml:space="preserve"> Bond yields in emerging economies: It matters what state you are in. </w:t>
      </w:r>
      <w:proofErr w:type="gramStart"/>
      <w:r w:rsidRPr="00DA7DDA">
        <w:rPr>
          <w:i/>
          <w:iCs/>
        </w:rPr>
        <w:t>Emerging Markets Review</w:t>
      </w:r>
      <w:r w:rsidRPr="00DA7DDA">
        <w:t xml:space="preserve">, </w:t>
      </w:r>
      <w:r w:rsidRPr="00DA7DDA">
        <w:rPr>
          <w:i/>
          <w:iCs/>
        </w:rPr>
        <w:t>17</w:t>
      </w:r>
      <w:r w:rsidRPr="00DA7DDA">
        <w:t>, 169-185.</w:t>
      </w:r>
      <w:proofErr w:type="gramEnd"/>
      <w:r w:rsidRPr="00DA7DDA">
        <w:t xml:space="preserve"> doi:10.1016/j.ememar.2013.09.003</w:t>
      </w:r>
    </w:p>
    <w:p w14:paraId="4C9A55E2" w14:textId="77777777" w:rsidR="00DA7DDA" w:rsidRPr="00DA7DDA" w:rsidRDefault="00DA7DDA" w:rsidP="00DA7DDA">
      <w:pPr>
        <w:pStyle w:val="Bibliografa"/>
      </w:pPr>
      <w:r w:rsidRPr="00DA7DDA">
        <w:t xml:space="preserve">Jensen, M. C. (1986). Agency costs of free cash flow, corporate finance, and takeovers. </w:t>
      </w:r>
      <w:proofErr w:type="gramStart"/>
      <w:r w:rsidRPr="00DA7DDA">
        <w:rPr>
          <w:i/>
          <w:iCs/>
        </w:rPr>
        <w:t>The American economic review</w:t>
      </w:r>
      <w:r w:rsidRPr="00DA7DDA">
        <w:t>, 323–329.</w:t>
      </w:r>
      <w:proofErr w:type="gramEnd"/>
    </w:p>
    <w:p w14:paraId="57DDA2C1" w14:textId="77777777" w:rsidR="00DA7DDA" w:rsidRPr="00DA7DDA" w:rsidRDefault="00DA7DDA" w:rsidP="00DA7DDA">
      <w:pPr>
        <w:pStyle w:val="Bibliografa"/>
      </w:pPr>
      <w:proofErr w:type="spellStart"/>
      <w:proofErr w:type="gramStart"/>
      <w:r w:rsidRPr="00DA7DDA">
        <w:t>Kaminsky</w:t>
      </w:r>
      <w:proofErr w:type="spellEnd"/>
      <w:r w:rsidRPr="00DA7DDA">
        <w:t xml:space="preserve">, G., &amp; </w:t>
      </w:r>
      <w:proofErr w:type="spellStart"/>
      <w:r w:rsidRPr="00DA7DDA">
        <w:t>Schmukler</w:t>
      </w:r>
      <w:proofErr w:type="spellEnd"/>
      <w:r w:rsidRPr="00DA7DDA">
        <w:t>, S. L. (2002).</w:t>
      </w:r>
      <w:proofErr w:type="gramEnd"/>
      <w:r w:rsidRPr="00DA7DDA">
        <w:t xml:space="preserve"> Emerging market instability: do sovereign ratings affect country risk and stock returns? </w:t>
      </w:r>
      <w:r w:rsidRPr="00DA7DDA">
        <w:rPr>
          <w:i/>
          <w:iCs/>
        </w:rPr>
        <w:t>The World Bank Economic Review</w:t>
      </w:r>
      <w:r w:rsidRPr="00DA7DDA">
        <w:t xml:space="preserve">, </w:t>
      </w:r>
      <w:r w:rsidRPr="00DA7DDA">
        <w:rPr>
          <w:i/>
          <w:iCs/>
        </w:rPr>
        <w:t>16</w:t>
      </w:r>
      <w:r w:rsidRPr="00DA7DDA">
        <w:t>(2), 171–195.</w:t>
      </w:r>
    </w:p>
    <w:p w14:paraId="6CB9B647" w14:textId="77777777" w:rsidR="00DA7DDA" w:rsidRPr="00DA7DDA" w:rsidRDefault="00DA7DDA" w:rsidP="00DA7DDA">
      <w:pPr>
        <w:pStyle w:val="Bibliografa"/>
      </w:pPr>
      <w:proofErr w:type="gramStart"/>
      <w:r w:rsidRPr="00DA7DDA">
        <w:t>King, T.-H.</w:t>
      </w:r>
      <w:proofErr w:type="gramEnd"/>
      <w:r w:rsidRPr="00DA7DDA">
        <w:t xml:space="preserve"> </w:t>
      </w:r>
      <w:proofErr w:type="gramStart"/>
      <w:r w:rsidRPr="00DA7DDA">
        <w:t xml:space="preserve">D., &amp; </w:t>
      </w:r>
      <w:proofErr w:type="spellStart"/>
      <w:r w:rsidRPr="00DA7DDA">
        <w:t>Khang</w:t>
      </w:r>
      <w:proofErr w:type="spellEnd"/>
      <w:r w:rsidRPr="00DA7DDA">
        <w:t>, K. (2005).</w:t>
      </w:r>
      <w:proofErr w:type="gramEnd"/>
      <w:r w:rsidRPr="00DA7DDA">
        <w:t xml:space="preserve"> On the importance of systematic risk factors in explaining the cross-section of corporate bond yield spreads. </w:t>
      </w:r>
      <w:r w:rsidRPr="00DA7DDA">
        <w:rPr>
          <w:i/>
          <w:iCs/>
        </w:rPr>
        <w:t>Journal of Banking &amp; Finance</w:t>
      </w:r>
      <w:r w:rsidRPr="00DA7DDA">
        <w:t xml:space="preserve">, </w:t>
      </w:r>
      <w:r w:rsidRPr="00DA7DDA">
        <w:rPr>
          <w:i/>
          <w:iCs/>
        </w:rPr>
        <w:t>29</w:t>
      </w:r>
      <w:r w:rsidRPr="00DA7DDA">
        <w:t>(12), 3141–3158.</w:t>
      </w:r>
    </w:p>
    <w:p w14:paraId="2B92BEC6" w14:textId="77777777" w:rsidR="00DA7DDA" w:rsidRPr="00DA7DDA" w:rsidRDefault="00DA7DDA" w:rsidP="00DA7DDA">
      <w:pPr>
        <w:pStyle w:val="Bibliografa"/>
        <w:rPr>
          <w:lang w:val="es-CO"/>
        </w:rPr>
      </w:pPr>
      <w:proofErr w:type="gramStart"/>
      <w:r w:rsidRPr="00DA7DDA">
        <w:lastRenderedPageBreak/>
        <w:t xml:space="preserve">Klein, C., &amp; </w:t>
      </w:r>
      <w:proofErr w:type="spellStart"/>
      <w:r w:rsidRPr="00DA7DDA">
        <w:t>Stellner</w:t>
      </w:r>
      <w:proofErr w:type="spellEnd"/>
      <w:r w:rsidRPr="00DA7DDA">
        <w:t>, C. (2013).</w:t>
      </w:r>
      <w:proofErr w:type="gramEnd"/>
      <w:r w:rsidRPr="00DA7DDA">
        <w:t xml:space="preserve"> Does sovereign risk matter? New evidence from </w:t>
      </w:r>
      <w:proofErr w:type="spellStart"/>
      <w:r w:rsidRPr="00DA7DDA">
        <w:t>eurozone</w:t>
      </w:r>
      <w:proofErr w:type="spellEnd"/>
      <w:r w:rsidRPr="00DA7DDA">
        <w:t xml:space="preserve"> corporate bond ratings and zero-volatility spreads. </w:t>
      </w:r>
      <w:proofErr w:type="spellStart"/>
      <w:r w:rsidRPr="00DA7DDA">
        <w:rPr>
          <w:i/>
          <w:iCs/>
          <w:lang w:val="es-CO"/>
        </w:rPr>
        <w:t>Review</w:t>
      </w:r>
      <w:proofErr w:type="spellEnd"/>
      <w:r w:rsidRPr="00DA7DDA">
        <w:rPr>
          <w:i/>
          <w:iCs/>
          <w:lang w:val="es-CO"/>
        </w:rPr>
        <w:t xml:space="preserve"> of </w:t>
      </w:r>
      <w:proofErr w:type="spellStart"/>
      <w:r w:rsidRPr="00DA7DDA">
        <w:rPr>
          <w:i/>
          <w:iCs/>
          <w:lang w:val="es-CO"/>
        </w:rPr>
        <w:t>Financial</w:t>
      </w:r>
      <w:proofErr w:type="spellEnd"/>
      <w:r w:rsidRPr="00DA7DDA">
        <w:rPr>
          <w:i/>
          <w:iCs/>
          <w:lang w:val="es-CO"/>
        </w:rPr>
        <w:t xml:space="preserve"> </w:t>
      </w:r>
      <w:proofErr w:type="spellStart"/>
      <w:r w:rsidRPr="00DA7DDA">
        <w:rPr>
          <w:i/>
          <w:iCs/>
          <w:lang w:val="es-CO"/>
        </w:rPr>
        <w:t>Economics</w:t>
      </w:r>
      <w:proofErr w:type="spellEnd"/>
      <w:r w:rsidRPr="00DA7DDA">
        <w:rPr>
          <w:lang w:val="es-CO"/>
        </w:rPr>
        <w:t>. Recuperado a partir de http://www.sciencedirect.com/science/article/pii/S1058330013000591</w:t>
      </w:r>
    </w:p>
    <w:p w14:paraId="37AD8ADF" w14:textId="77777777" w:rsidR="00DA7DDA" w:rsidRPr="00DA7DDA" w:rsidRDefault="00DA7DDA" w:rsidP="00DA7DDA">
      <w:pPr>
        <w:pStyle w:val="Bibliografa"/>
        <w:rPr>
          <w:lang w:val="es-CO"/>
        </w:rPr>
      </w:pPr>
      <w:r w:rsidRPr="00DA7DDA">
        <w:rPr>
          <w:lang w:val="es-CO"/>
        </w:rPr>
        <w:t xml:space="preserve">Lee, J., Naranjo, A., &amp; </w:t>
      </w:r>
      <w:proofErr w:type="spellStart"/>
      <w:r w:rsidRPr="00DA7DDA">
        <w:rPr>
          <w:lang w:val="es-CO"/>
        </w:rPr>
        <w:t>Sirmans</w:t>
      </w:r>
      <w:proofErr w:type="spellEnd"/>
      <w:r w:rsidRPr="00DA7DDA">
        <w:rPr>
          <w:lang w:val="es-CO"/>
        </w:rPr>
        <w:t xml:space="preserve">, S. (2013). </w:t>
      </w:r>
      <w:r w:rsidRPr="00DA7DDA">
        <w:t xml:space="preserve">The exodus from sovereign risk: Sovereign ceiling violations in credit default swap markets. </w:t>
      </w:r>
      <w:r w:rsidRPr="00DA7DDA">
        <w:rPr>
          <w:i/>
          <w:iCs/>
          <w:lang w:val="es-CO"/>
        </w:rPr>
        <w:t xml:space="preserve">J </w:t>
      </w:r>
      <w:proofErr w:type="spellStart"/>
      <w:r w:rsidRPr="00DA7DDA">
        <w:rPr>
          <w:i/>
          <w:iCs/>
          <w:lang w:val="es-CO"/>
        </w:rPr>
        <w:t>Finance</w:t>
      </w:r>
      <w:proofErr w:type="spellEnd"/>
      <w:r w:rsidRPr="00DA7DDA">
        <w:rPr>
          <w:lang w:val="es-CO"/>
        </w:rPr>
        <w:t xml:space="preserve">, </w:t>
      </w:r>
      <w:proofErr w:type="spellStart"/>
      <w:r w:rsidRPr="00DA7DDA">
        <w:rPr>
          <w:i/>
          <w:iCs/>
          <w:lang w:val="es-CO"/>
        </w:rPr>
        <w:t>Forthcoming</w:t>
      </w:r>
      <w:proofErr w:type="spellEnd"/>
      <w:r w:rsidRPr="00DA7DDA">
        <w:rPr>
          <w:lang w:val="es-CO"/>
        </w:rPr>
        <w:t>. Recuperado a partir de http://whartonwrds.com/files/2013/11/The-Exodus-from-Sovereign-Risk.pdf</w:t>
      </w:r>
    </w:p>
    <w:p w14:paraId="17B557CB" w14:textId="77777777" w:rsidR="00DA7DDA" w:rsidRPr="00DA7DDA" w:rsidRDefault="00DA7DDA" w:rsidP="00DA7DDA">
      <w:pPr>
        <w:pStyle w:val="Bibliografa"/>
      </w:pPr>
      <w:proofErr w:type="spellStart"/>
      <w:r w:rsidRPr="00DA7DDA">
        <w:t>Ludvigson</w:t>
      </w:r>
      <w:proofErr w:type="spellEnd"/>
      <w:r w:rsidRPr="00DA7DDA">
        <w:t xml:space="preserve">, S. C., &amp; Ng, S. (2009). Macro factors in bond risk </w:t>
      </w:r>
      <w:proofErr w:type="spellStart"/>
      <w:r w:rsidRPr="00DA7DDA">
        <w:t>premia</w:t>
      </w:r>
      <w:proofErr w:type="spellEnd"/>
      <w:r w:rsidRPr="00DA7DDA">
        <w:t xml:space="preserve">. </w:t>
      </w:r>
      <w:r w:rsidRPr="00DA7DDA">
        <w:rPr>
          <w:i/>
          <w:iCs/>
        </w:rPr>
        <w:t>Review of Financial Studies</w:t>
      </w:r>
      <w:r w:rsidRPr="00DA7DDA">
        <w:t xml:space="preserve">, </w:t>
      </w:r>
      <w:r w:rsidRPr="00DA7DDA">
        <w:rPr>
          <w:i/>
          <w:iCs/>
        </w:rPr>
        <w:t>22</w:t>
      </w:r>
      <w:r w:rsidRPr="00DA7DDA">
        <w:t>(12), 5027–5067.</w:t>
      </w:r>
    </w:p>
    <w:p w14:paraId="22F5C4DD" w14:textId="77777777" w:rsidR="00DA7DDA" w:rsidRPr="00DA7DDA" w:rsidRDefault="00DA7DDA" w:rsidP="00DA7DDA">
      <w:pPr>
        <w:pStyle w:val="Bibliografa"/>
      </w:pPr>
      <w:proofErr w:type="gramStart"/>
      <w:r w:rsidRPr="00DA7DDA">
        <w:t xml:space="preserve">Martinez, L. B., </w:t>
      </w:r>
      <w:proofErr w:type="spellStart"/>
      <w:r w:rsidRPr="00DA7DDA">
        <w:t>Terceño</w:t>
      </w:r>
      <w:proofErr w:type="spellEnd"/>
      <w:r w:rsidRPr="00DA7DDA">
        <w:t xml:space="preserve">, A., &amp; </w:t>
      </w:r>
      <w:proofErr w:type="spellStart"/>
      <w:r w:rsidRPr="00DA7DDA">
        <w:t>Teruel</w:t>
      </w:r>
      <w:proofErr w:type="spellEnd"/>
      <w:r w:rsidRPr="00DA7DDA">
        <w:t>, M. (2013).</w:t>
      </w:r>
      <w:proofErr w:type="gramEnd"/>
      <w:r w:rsidRPr="00DA7DDA">
        <w:t xml:space="preserve"> Sovereign bond spreads determinants in Latin American countries: Before and during the XXI financial crisis. </w:t>
      </w:r>
      <w:proofErr w:type="gramStart"/>
      <w:r w:rsidRPr="00DA7DDA">
        <w:rPr>
          <w:i/>
          <w:iCs/>
        </w:rPr>
        <w:t>Emerging Markets Review</w:t>
      </w:r>
      <w:r w:rsidRPr="00DA7DDA">
        <w:t xml:space="preserve">, </w:t>
      </w:r>
      <w:r w:rsidRPr="00DA7DDA">
        <w:rPr>
          <w:i/>
          <w:iCs/>
        </w:rPr>
        <w:t>17</w:t>
      </w:r>
      <w:r w:rsidRPr="00DA7DDA">
        <w:t>, 60-75.</w:t>
      </w:r>
      <w:proofErr w:type="gramEnd"/>
      <w:r w:rsidRPr="00DA7DDA">
        <w:t xml:space="preserve"> doi:10.1016/j.ememar.2013.08.004</w:t>
      </w:r>
    </w:p>
    <w:p w14:paraId="498E1C04" w14:textId="77777777" w:rsidR="00DA7DDA" w:rsidRPr="00DA7DDA" w:rsidRDefault="00DA7DDA" w:rsidP="00DA7DDA">
      <w:pPr>
        <w:pStyle w:val="Bibliografa"/>
      </w:pPr>
      <w:proofErr w:type="spellStart"/>
      <w:proofErr w:type="gramStart"/>
      <w:r w:rsidRPr="00DA7DDA">
        <w:t>Miler</w:t>
      </w:r>
      <w:proofErr w:type="spellEnd"/>
      <w:r w:rsidRPr="00DA7DDA">
        <w:t>, T. (2010).</w:t>
      </w:r>
      <w:proofErr w:type="gramEnd"/>
      <w:r w:rsidRPr="00DA7DDA">
        <w:t xml:space="preserve"> </w:t>
      </w:r>
      <w:r w:rsidRPr="00DA7DDA">
        <w:rPr>
          <w:i/>
          <w:iCs/>
        </w:rPr>
        <w:t xml:space="preserve">Introduction to Option-Adjusted Spread Analysis: revised and expanded edition of the OAS classic by Tom </w:t>
      </w:r>
      <w:proofErr w:type="spellStart"/>
      <w:r w:rsidRPr="00DA7DDA">
        <w:rPr>
          <w:i/>
          <w:iCs/>
        </w:rPr>
        <w:t>Windas</w:t>
      </w:r>
      <w:proofErr w:type="spellEnd"/>
      <w:r w:rsidRPr="00DA7DDA">
        <w:t xml:space="preserve">. </w:t>
      </w:r>
      <w:proofErr w:type="gramStart"/>
      <w:r w:rsidRPr="00DA7DDA">
        <w:t>John Wiley &amp; Sons.</w:t>
      </w:r>
      <w:proofErr w:type="gramEnd"/>
    </w:p>
    <w:p w14:paraId="6BD59519" w14:textId="77777777" w:rsidR="00DA7DDA" w:rsidRPr="00DA7DDA" w:rsidRDefault="00DA7DDA" w:rsidP="00DA7DDA">
      <w:pPr>
        <w:pStyle w:val="Bibliografa"/>
      </w:pPr>
      <w:proofErr w:type="spellStart"/>
      <w:proofErr w:type="gramStart"/>
      <w:r w:rsidRPr="00DA7DDA">
        <w:t>Panizza</w:t>
      </w:r>
      <w:proofErr w:type="spellEnd"/>
      <w:r w:rsidRPr="00DA7DDA">
        <w:t xml:space="preserve">, U., </w:t>
      </w:r>
      <w:proofErr w:type="spellStart"/>
      <w:r w:rsidRPr="00DA7DDA">
        <w:t>Sturzenegger</w:t>
      </w:r>
      <w:proofErr w:type="spellEnd"/>
      <w:r w:rsidRPr="00DA7DDA">
        <w:t xml:space="preserve">, F., &amp; </w:t>
      </w:r>
      <w:proofErr w:type="spellStart"/>
      <w:r w:rsidRPr="00DA7DDA">
        <w:t>Zettelmeyer</w:t>
      </w:r>
      <w:proofErr w:type="spellEnd"/>
      <w:r w:rsidRPr="00DA7DDA">
        <w:t>, J. (2009).</w:t>
      </w:r>
      <w:proofErr w:type="gramEnd"/>
      <w:r w:rsidRPr="00DA7DDA">
        <w:t xml:space="preserve"> </w:t>
      </w:r>
      <w:proofErr w:type="gramStart"/>
      <w:r w:rsidRPr="00DA7DDA">
        <w:t>The economics and law of sovereign debt and default.</w:t>
      </w:r>
      <w:proofErr w:type="gramEnd"/>
      <w:r w:rsidRPr="00DA7DDA">
        <w:t xml:space="preserve"> </w:t>
      </w:r>
      <w:r w:rsidRPr="00DA7DDA">
        <w:rPr>
          <w:i/>
          <w:iCs/>
        </w:rPr>
        <w:t>Journal of Economic Literature</w:t>
      </w:r>
      <w:r w:rsidRPr="00DA7DDA">
        <w:t>, 651–698.</w:t>
      </w:r>
    </w:p>
    <w:p w14:paraId="7BC5E381" w14:textId="77777777" w:rsidR="00DA7DDA" w:rsidRPr="00DA7DDA" w:rsidRDefault="00DA7DDA" w:rsidP="00DA7DDA">
      <w:pPr>
        <w:pStyle w:val="Bibliografa"/>
      </w:pPr>
      <w:proofErr w:type="gramStart"/>
      <w:r w:rsidRPr="00DA7DDA">
        <w:t xml:space="preserve">Peter, M., &amp; </w:t>
      </w:r>
      <w:proofErr w:type="spellStart"/>
      <w:r w:rsidRPr="00DA7DDA">
        <w:t>Grandes</w:t>
      </w:r>
      <w:proofErr w:type="spellEnd"/>
      <w:r w:rsidRPr="00DA7DDA">
        <w:t>, M. (2005).</w:t>
      </w:r>
      <w:proofErr w:type="gramEnd"/>
      <w:r w:rsidRPr="00DA7DDA">
        <w:t xml:space="preserve"> </w:t>
      </w:r>
      <w:r w:rsidRPr="00DA7DDA">
        <w:rPr>
          <w:i/>
          <w:iCs/>
        </w:rPr>
        <w:t xml:space="preserve">How Important is Sovereign Risk in Determining Corporate Default </w:t>
      </w:r>
      <w:proofErr w:type="spellStart"/>
      <w:r w:rsidRPr="00DA7DDA">
        <w:rPr>
          <w:i/>
          <w:iCs/>
        </w:rPr>
        <w:t>Premia</w:t>
      </w:r>
      <w:proofErr w:type="spellEnd"/>
      <w:proofErr w:type="gramStart"/>
      <w:r w:rsidRPr="00DA7DDA">
        <w:rPr>
          <w:i/>
          <w:iCs/>
        </w:rPr>
        <w:t>?:</w:t>
      </w:r>
      <w:proofErr w:type="gramEnd"/>
      <w:r w:rsidRPr="00DA7DDA">
        <w:rPr>
          <w:i/>
          <w:iCs/>
        </w:rPr>
        <w:t xml:space="preserve"> The Case of South Africa</w:t>
      </w:r>
      <w:r w:rsidRPr="00DA7DDA">
        <w:t xml:space="preserve"> (IMF Working Papers No. ID 888086). Rochester, NY: Social Science Research Network. </w:t>
      </w:r>
      <w:proofErr w:type="spellStart"/>
      <w:r w:rsidRPr="00DA7DDA">
        <w:t>Recuperado</w:t>
      </w:r>
      <w:proofErr w:type="spellEnd"/>
      <w:r w:rsidRPr="00DA7DDA">
        <w:t xml:space="preserve"> a </w:t>
      </w:r>
      <w:proofErr w:type="spellStart"/>
      <w:r w:rsidRPr="00DA7DDA">
        <w:t>partir</w:t>
      </w:r>
      <w:proofErr w:type="spellEnd"/>
      <w:r w:rsidRPr="00DA7DDA">
        <w:t xml:space="preserve"> de http://papers.ssrn.com/abstract=888086</w:t>
      </w:r>
    </w:p>
    <w:p w14:paraId="71B5BCA1" w14:textId="77777777" w:rsidR="00DA7DDA" w:rsidRPr="00DA7DDA" w:rsidRDefault="00DA7DDA" w:rsidP="00DA7DDA">
      <w:pPr>
        <w:pStyle w:val="Bibliografa"/>
      </w:pPr>
      <w:proofErr w:type="spellStart"/>
      <w:proofErr w:type="gramStart"/>
      <w:r w:rsidRPr="00DA7DDA">
        <w:t>Remolona</w:t>
      </w:r>
      <w:proofErr w:type="spellEnd"/>
      <w:r w:rsidRPr="00DA7DDA">
        <w:t xml:space="preserve">, E. M., </w:t>
      </w:r>
      <w:proofErr w:type="spellStart"/>
      <w:r w:rsidRPr="00DA7DDA">
        <w:t>Scatigna</w:t>
      </w:r>
      <w:proofErr w:type="spellEnd"/>
      <w:r w:rsidRPr="00DA7DDA">
        <w:t>, M., &amp; Wu, E. (2008).</w:t>
      </w:r>
      <w:proofErr w:type="gramEnd"/>
      <w:r w:rsidRPr="00DA7DDA">
        <w:t xml:space="preserve"> </w:t>
      </w:r>
      <w:proofErr w:type="gramStart"/>
      <w:r w:rsidRPr="00DA7DDA">
        <w:t>A ratings-based approach to measuring sovereign risk.</w:t>
      </w:r>
      <w:proofErr w:type="gramEnd"/>
      <w:r w:rsidRPr="00DA7DDA">
        <w:t xml:space="preserve"> </w:t>
      </w:r>
      <w:r w:rsidRPr="00DA7DDA">
        <w:rPr>
          <w:i/>
          <w:iCs/>
        </w:rPr>
        <w:t>International Journal of Finance &amp; Economics</w:t>
      </w:r>
      <w:r w:rsidRPr="00DA7DDA">
        <w:t xml:space="preserve">, </w:t>
      </w:r>
      <w:r w:rsidRPr="00DA7DDA">
        <w:rPr>
          <w:i/>
          <w:iCs/>
        </w:rPr>
        <w:t>13</w:t>
      </w:r>
      <w:r w:rsidRPr="00DA7DDA">
        <w:t>(1), 26–39.</w:t>
      </w:r>
    </w:p>
    <w:p w14:paraId="64125490" w14:textId="77777777" w:rsidR="00DA7DDA" w:rsidRPr="00DA7DDA" w:rsidRDefault="00DA7DDA" w:rsidP="00DA7DDA">
      <w:pPr>
        <w:pStyle w:val="Bibliografa"/>
      </w:pPr>
      <w:proofErr w:type="spellStart"/>
      <w:proofErr w:type="gramStart"/>
      <w:r w:rsidRPr="00DA7DDA">
        <w:lastRenderedPageBreak/>
        <w:t>Terceño</w:t>
      </w:r>
      <w:proofErr w:type="spellEnd"/>
      <w:r w:rsidRPr="00DA7DDA">
        <w:t xml:space="preserve">, A., </w:t>
      </w:r>
      <w:proofErr w:type="spellStart"/>
      <w:r w:rsidRPr="00DA7DDA">
        <w:t>Sorrosal</w:t>
      </w:r>
      <w:proofErr w:type="spellEnd"/>
      <w:r w:rsidRPr="00DA7DDA">
        <w:t xml:space="preserve">, M. T., Martinez, L. B., &amp; </w:t>
      </w:r>
      <w:proofErr w:type="spellStart"/>
      <w:r w:rsidRPr="00DA7DDA">
        <w:t>Barberà</w:t>
      </w:r>
      <w:proofErr w:type="spellEnd"/>
      <w:r w:rsidRPr="00DA7DDA">
        <w:t>, M. G. (2013).</w:t>
      </w:r>
      <w:proofErr w:type="gramEnd"/>
      <w:r w:rsidRPr="00DA7DDA">
        <w:t xml:space="preserve"> </w:t>
      </w:r>
      <w:proofErr w:type="gramStart"/>
      <w:r w:rsidRPr="00DA7DDA">
        <w:t>Sovereign Bond Spreads Evolution in Latin American Countries.</w:t>
      </w:r>
      <w:proofErr w:type="gramEnd"/>
      <w:r w:rsidRPr="00DA7DDA">
        <w:t xml:space="preserve"> </w:t>
      </w:r>
      <w:proofErr w:type="gramStart"/>
      <w:r w:rsidRPr="00DA7DDA">
        <w:t xml:space="preserve">En </w:t>
      </w:r>
      <w:r w:rsidRPr="00DA7DDA">
        <w:rPr>
          <w:i/>
          <w:iCs/>
        </w:rPr>
        <w:t>Modeling and simulation in engineering, economics and management</w:t>
      </w:r>
      <w:r w:rsidRPr="00DA7DDA">
        <w:t xml:space="preserve"> (Vol. 145, p. 266).</w:t>
      </w:r>
      <w:proofErr w:type="gramEnd"/>
      <w:r w:rsidRPr="00DA7DDA">
        <w:t xml:space="preserve"> </w:t>
      </w:r>
      <w:proofErr w:type="spellStart"/>
      <w:r w:rsidRPr="00DA7DDA">
        <w:t>Castellón</w:t>
      </w:r>
      <w:proofErr w:type="spellEnd"/>
      <w:r w:rsidRPr="00DA7DDA">
        <w:t xml:space="preserve"> de la Plana, Spain: Springer. </w:t>
      </w:r>
      <w:proofErr w:type="gramStart"/>
      <w:r w:rsidRPr="00DA7DDA">
        <w:t>doi:</w:t>
      </w:r>
      <w:proofErr w:type="gramEnd"/>
      <w:r w:rsidRPr="00DA7DDA">
        <w:t>10.1007/978-3-642-38279-6</w:t>
      </w:r>
    </w:p>
    <w:p w14:paraId="2E42FDB1" w14:textId="77777777" w:rsidR="00DA7DDA" w:rsidRPr="00DA7DDA" w:rsidRDefault="00DA7DDA" w:rsidP="00DA7DDA">
      <w:pPr>
        <w:pStyle w:val="Bibliografa"/>
      </w:pPr>
      <w:proofErr w:type="spellStart"/>
      <w:proofErr w:type="gramStart"/>
      <w:r w:rsidRPr="00DA7DDA">
        <w:t>Westphalen</w:t>
      </w:r>
      <w:proofErr w:type="spellEnd"/>
      <w:r w:rsidRPr="00DA7DDA">
        <w:t>, M. (2001).</w:t>
      </w:r>
      <w:proofErr w:type="gramEnd"/>
      <w:r w:rsidRPr="00DA7DDA">
        <w:t xml:space="preserve"> The </w:t>
      </w:r>
      <w:proofErr w:type="gramStart"/>
      <w:r w:rsidRPr="00DA7DDA">
        <w:t>determinants of sovereign bond credit spreads</w:t>
      </w:r>
      <w:proofErr w:type="gramEnd"/>
      <w:r w:rsidRPr="00DA7DDA">
        <w:t xml:space="preserve"> changes. </w:t>
      </w:r>
      <w:proofErr w:type="gramStart"/>
      <w:r w:rsidRPr="00DA7DDA">
        <w:rPr>
          <w:i/>
          <w:iCs/>
        </w:rPr>
        <w:t>unpublished</w:t>
      </w:r>
      <w:proofErr w:type="gramEnd"/>
      <w:r w:rsidRPr="00DA7DDA">
        <w:rPr>
          <w:i/>
          <w:iCs/>
        </w:rPr>
        <w:t xml:space="preserve"> paper, </w:t>
      </w:r>
      <w:proofErr w:type="spellStart"/>
      <w:r w:rsidRPr="00DA7DDA">
        <w:rPr>
          <w:i/>
          <w:iCs/>
        </w:rPr>
        <w:t>Universite</w:t>
      </w:r>
      <w:proofErr w:type="spellEnd"/>
      <w:r w:rsidRPr="00DA7DDA">
        <w:rPr>
          <w:i/>
          <w:iCs/>
        </w:rPr>
        <w:t xml:space="preserve"> de Lausanne</w:t>
      </w:r>
      <w:r w:rsidRPr="00DA7DDA">
        <w:t>, 1–27.</w:t>
      </w:r>
    </w:p>
    <w:p w14:paraId="53454756" w14:textId="1C3B31F3" w:rsidR="009641ED" w:rsidRDefault="00A4767C" w:rsidP="000F617E">
      <w:r>
        <w:fldChar w:fldCharType="end"/>
      </w:r>
    </w:p>
    <w:p w14:paraId="17F3BB6C" w14:textId="77777777" w:rsidR="009641ED" w:rsidRDefault="009641ED">
      <w:pPr>
        <w:spacing w:line="240" w:lineRule="auto"/>
      </w:pPr>
      <w:r>
        <w:br w:type="page"/>
      </w:r>
    </w:p>
    <w:p w14:paraId="7C69CAAA" w14:textId="2D53864B" w:rsidR="009641ED" w:rsidRDefault="009641ED" w:rsidP="000F617E">
      <w:r>
        <w:lastRenderedPageBreak/>
        <w:t>Tables</w:t>
      </w:r>
    </w:p>
    <w:p w14:paraId="2BACB10D" w14:textId="211F8917" w:rsidR="009641ED" w:rsidRDefault="009641ED" w:rsidP="000F617E">
      <w:r>
        <w:t xml:space="preserve">Table 1. </w:t>
      </w:r>
      <w:r w:rsidR="000B7A97">
        <w:t xml:space="preserve">Panel A. </w:t>
      </w:r>
      <w:r>
        <w:t>Descriptive statistics of benchmark spread</w:t>
      </w:r>
      <w:r w:rsidR="000B7A97">
        <w:t xml:space="preserve"> by country</w:t>
      </w:r>
      <w:r w:rsidR="00A84EC3">
        <w:t xml:space="preserve"> (</w:t>
      </w:r>
      <w:proofErr w:type="spellStart"/>
      <w:r w:rsidR="00A84EC3">
        <w:t>bp</w:t>
      </w:r>
      <w:proofErr w:type="spellEnd"/>
      <w:r w:rsidR="00A84EC3">
        <w:t>)</w:t>
      </w:r>
    </w:p>
    <w:tbl>
      <w:tblPr>
        <w:tblStyle w:val="Sombreadoclaro"/>
        <w:tblW w:w="8154" w:type="dxa"/>
        <w:tblLayout w:type="fixed"/>
        <w:tblLook w:val="06A0" w:firstRow="1" w:lastRow="0" w:firstColumn="1" w:lastColumn="0" w:noHBand="1" w:noVBand="1"/>
      </w:tblPr>
      <w:tblGrid>
        <w:gridCol w:w="1908"/>
        <w:gridCol w:w="990"/>
        <w:gridCol w:w="1260"/>
        <w:gridCol w:w="1440"/>
        <w:gridCol w:w="1350"/>
        <w:gridCol w:w="1206"/>
      </w:tblGrid>
      <w:tr w:rsidR="000B7A97" w:rsidRPr="000B7A97" w14:paraId="64E65649" w14:textId="77777777" w:rsidTr="000B7A9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55241FF" w14:textId="77777777" w:rsidR="000B7A97" w:rsidRPr="000B7A97" w:rsidRDefault="000B7A97" w:rsidP="000B7A97">
            <w:pPr>
              <w:spacing w:line="240" w:lineRule="auto"/>
              <w:jc w:val="left"/>
              <w:rPr>
                <w:sz w:val="20"/>
              </w:rPr>
            </w:pPr>
            <w:r w:rsidRPr="000B7A97">
              <w:rPr>
                <w:sz w:val="20"/>
              </w:rPr>
              <w:t>Country</w:t>
            </w:r>
          </w:p>
        </w:tc>
        <w:tc>
          <w:tcPr>
            <w:tcW w:w="990" w:type="dxa"/>
            <w:vAlign w:val="center"/>
          </w:tcPr>
          <w:p w14:paraId="2FBA937A" w14:textId="666A9B88" w:rsidR="000B7A97" w:rsidRPr="000B7A97" w:rsidRDefault="000B7A97" w:rsidP="000B7A97">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0B7A97">
              <w:rPr>
                <w:sz w:val="20"/>
              </w:rPr>
              <w:t>Obs</w:t>
            </w:r>
            <w:r w:rsidR="00DF31E7">
              <w:rPr>
                <w:sz w:val="20"/>
              </w:rPr>
              <w:t>.</w:t>
            </w:r>
          </w:p>
        </w:tc>
        <w:tc>
          <w:tcPr>
            <w:tcW w:w="1260" w:type="dxa"/>
            <w:vAlign w:val="center"/>
          </w:tcPr>
          <w:p w14:paraId="23B87FDF" w14:textId="77777777" w:rsidR="000B7A97" w:rsidRPr="000B7A97" w:rsidRDefault="000B7A97" w:rsidP="000B7A97">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0B7A97">
              <w:rPr>
                <w:sz w:val="20"/>
              </w:rPr>
              <w:t>Mean</w:t>
            </w:r>
          </w:p>
        </w:tc>
        <w:tc>
          <w:tcPr>
            <w:tcW w:w="1440" w:type="dxa"/>
            <w:vAlign w:val="center"/>
          </w:tcPr>
          <w:p w14:paraId="780E4B9A" w14:textId="77777777" w:rsidR="000B7A97" w:rsidRPr="000B7A97" w:rsidRDefault="000B7A97" w:rsidP="000B7A97">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0B7A97">
              <w:rPr>
                <w:sz w:val="20"/>
              </w:rPr>
              <w:t>Std. Dev.</w:t>
            </w:r>
          </w:p>
        </w:tc>
        <w:tc>
          <w:tcPr>
            <w:tcW w:w="1350" w:type="dxa"/>
            <w:vAlign w:val="center"/>
          </w:tcPr>
          <w:p w14:paraId="5777389F" w14:textId="372C459B" w:rsidR="000B7A97" w:rsidRPr="000B7A97" w:rsidRDefault="000B7A97" w:rsidP="000B7A97">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0B7A97">
              <w:rPr>
                <w:sz w:val="20"/>
              </w:rPr>
              <w:t>Min</w:t>
            </w:r>
          </w:p>
        </w:tc>
        <w:tc>
          <w:tcPr>
            <w:tcW w:w="1206" w:type="dxa"/>
            <w:vAlign w:val="center"/>
          </w:tcPr>
          <w:p w14:paraId="13C41856" w14:textId="77777777" w:rsidR="000B7A97" w:rsidRPr="000B7A97" w:rsidRDefault="000B7A97" w:rsidP="000B7A97">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0B7A97">
              <w:rPr>
                <w:sz w:val="20"/>
              </w:rPr>
              <w:t>Max</w:t>
            </w:r>
          </w:p>
        </w:tc>
      </w:tr>
      <w:tr w:rsidR="000B7A97" w:rsidRPr="000B7A97" w14:paraId="34DCA2AD"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3890D73" w14:textId="77777777" w:rsidR="000B7A97" w:rsidRPr="000B7A97" w:rsidRDefault="000B7A97" w:rsidP="000B7A97">
            <w:pPr>
              <w:spacing w:line="240" w:lineRule="auto"/>
              <w:jc w:val="left"/>
              <w:rPr>
                <w:sz w:val="20"/>
              </w:rPr>
            </w:pPr>
            <w:r w:rsidRPr="000B7A97">
              <w:rPr>
                <w:sz w:val="20"/>
              </w:rPr>
              <w:t>Argentina</w:t>
            </w:r>
          </w:p>
        </w:tc>
        <w:tc>
          <w:tcPr>
            <w:tcW w:w="990" w:type="dxa"/>
            <w:vAlign w:val="center"/>
          </w:tcPr>
          <w:p w14:paraId="6BD5FA4C" w14:textId="38771736"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924</w:t>
            </w:r>
          </w:p>
        </w:tc>
        <w:tc>
          <w:tcPr>
            <w:tcW w:w="1260" w:type="dxa"/>
            <w:vAlign w:val="center"/>
          </w:tcPr>
          <w:p w14:paraId="0AF029D4" w14:textId="4BC24C88"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227.223</w:t>
            </w:r>
          </w:p>
        </w:tc>
        <w:tc>
          <w:tcPr>
            <w:tcW w:w="1440" w:type="dxa"/>
            <w:vAlign w:val="center"/>
          </w:tcPr>
          <w:p w14:paraId="3A815301" w14:textId="0E7F8542" w:rsidR="000B7A97" w:rsidRPr="000B7A97" w:rsidRDefault="000B7A97"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184.20</w:t>
            </w:r>
            <w:r w:rsidR="00695E92">
              <w:rPr>
                <w:sz w:val="20"/>
              </w:rPr>
              <w:t>6</w:t>
            </w:r>
          </w:p>
        </w:tc>
        <w:tc>
          <w:tcPr>
            <w:tcW w:w="1350" w:type="dxa"/>
            <w:vAlign w:val="center"/>
          </w:tcPr>
          <w:p w14:paraId="0E5A0E8E" w14:textId="793BC156"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-44.389</w:t>
            </w:r>
          </w:p>
        </w:tc>
        <w:tc>
          <w:tcPr>
            <w:tcW w:w="1206" w:type="dxa"/>
            <w:vAlign w:val="center"/>
          </w:tcPr>
          <w:p w14:paraId="2FED121D" w14:textId="19ADDB52"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921.761</w:t>
            </w:r>
          </w:p>
        </w:tc>
      </w:tr>
      <w:tr w:rsidR="000B7A97" w:rsidRPr="000B7A97" w14:paraId="4F78E0DC"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F598CE9" w14:textId="77777777" w:rsidR="000B7A97" w:rsidRPr="000B7A97" w:rsidRDefault="000B7A97" w:rsidP="000B7A97">
            <w:pPr>
              <w:spacing w:line="240" w:lineRule="auto"/>
              <w:jc w:val="left"/>
              <w:rPr>
                <w:sz w:val="20"/>
              </w:rPr>
            </w:pPr>
            <w:r w:rsidRPr="000B7A97">
              <w:rPr>
                <w:sz w:val="20"/>
              </w:rPr>
              <w:t>Brazil</w:t>
            </w:r>
          </w:p>
        </w:tc>
        <w:tc>
          <w:tcPr>
            <w:tcW w:w="990" w:type="dxa"/>
            <w:vAlign w:val="center"/>
          </w:tcPr>
          <w:p w14:paraId="797F73C0"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4368</w:t>
            </w:r>
          </w:p>
        </w:tc>
        <w:tc>
          <w:tcPr>
            <w:tcW w:w="1260" w:type="dxa"/>
            <w:vAlign w:val="center"/>
          </w:tcPr>
          <w:p w14:paraId="298873EE" w14:textId="51ABDFD9"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259.462</w:t>
            </w:r>
          </w:p>
        </w:tc>
        <w:tc>
          <w:tcPr>
            <w:tcW w:w="1440" w:type="dxa"/>
            <w:vAlign w:val="center"/>
          </w:tcPr>
          <w:p w14:paraId="72D42994" w14:textId="1101A550" w:rsidR="000B7A97" w:rsidRPr="000B7A97" w:rsidRDefault="000B7A97"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408.69</w:t>
            </w:r>
            <w:r w:rsidR="00695E92">
              <w:rPr>
                <w:sz w:val="20"/>
              </w:rPr>
              <w:t>2</w:t>
            </w:r>
          </w:p>
        </w:tc>
        <w:tc>
          <w:tcPr>
            <w:tcW w:w="1350" w:type="dxa"/>
            <w:vAlign w:val="center"/>
          </w:tcPr>
          <w:p w14:paraId="504C14D7" w14:textId="149C89D3"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-90.309</w:t>
            </w:r>
          </w:p>
        </w:tc>
        <w:tc>
          <w:tcPr>
            <w:tcW w:w="1206" w:type="dxa"/>
            <w:vAlign w:val="center"/>
          </w:tcPr>
          <w:p w14:paraId="11C86289" w14:textId="6E7E6453"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4105.568</w:t>
            </w:r>
          </w:p>
        </w:tc>
      </w:tr>
      <w:tr w:rsidR="000B7A97" w:rsidRPr="000B7A97" w14:paraId="53CDB6D3"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B572F83" w14:textId="77777777" w:rsidR="000B7A97" w:rsidRPr="000B7A97" w:rsidRDefault="000B7A97" w:rsidP="000B7A97">
            <w:pPr>
              <w:spacing w:line="240" w:lineRule="auto"/>
              <w:jc w:val="left"/>
              <w:rPr>
                <w:sz w:val="20"/>
              </w:rPr>
            </w:pPr>
            <w:r w:rsidRPr="000B7A97">
              <w:rPr>
                <w:sz w:val="20"/>
              </w:rPr>
              <w:t>Chile</w:t>
            </w:r>
          </w:p>
        </w:tc>
        <w:tc>
          <w:tcPr>
            <w:tcW w:w="990" w:type="dxa"/>
            <w:vAlign w:val="center"/>
          </w:tcPr>
          <w:p w14:paraId="0AC69B65"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1596</w:t>
            </w:r>
          </w:p>
        </w:tc>
        <w:tc>
          <w:tcPr>
            <w:tcW w:w="1260" w:type="dxa"/>
            <w:vAlign w:val="center"/>
          </w:tcPr>
          <w:p w14:paraId="00442D43" w14:textId="78944808"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261.70</w:t>
            </w:r>
            <w:r w:rsidR="00411C81">
              <w:rPr>
                <w:sz w:val="20"/>
              </w:rPr>
              <w:t>4</w:t>
            </w:r>
          </w:p>
        </w:tc>
        <w:tc>
          <w:tcPr>
            <w:tcW w:w="1440" w:type="dxa"/>
            <w:vAlign w:val="center"/>
          </w:tcPr>
          <w:p w14:paraId="52892653" w14:textId="072FACEE"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212.015</w:t>
            </w:r>
          </w:p>
        </w:tc>
        <w:tc>
          <w:tcPr>
            <w:tcW w:w="1350" w:type="dxa"/>
            <w:vAlign w:val="center"/>
          </w:tcPr>
          <w:p w14:paraId="729026D3"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-74.519</w:t>
            </w:r>
          </w:p>
        </w:tc>
        <w:tc>
          <w:tcPr>
            <w:tcW w:w="1206" w:type="dxa"/>
            <w:vAlign w:val="center"/>
          </w:tcPr>
          <w:p w14:paraId="1F2E71BA" w14:textId="01DBC003"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1158.969</w:t>
            </w:r>
          </w:p>
        </w:tc>
      </w:tr>
      <w:tr w:rsidR="00DF31E7" w:rsidRPr="000B7A97" w14:paraId="414FFCFA" w14:textId="77777777" w:rsidTr="00DF31E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CF09AA9" w14:textId="77777777" w:rsidR="00DF31E7" w:rsidRPr="000B7A97" w:rsidRDefault="00DF31E7" w:rsidP="00DF31E7">
            <w:pPr>
              <w:spacing w:line="240" w:lineRule="auto"/>
              <w:jc w:val="left"/>
              <w:rPr>
                <w:sz w:val="20"/>
              </w:rPr>
            </w:pPr>
            <w:r w:rsidRPr="000B7A97">
              <w:rPr>
                <w:sz w:val="20"/>
              </w:rPr>
              <w:t>China</w:t>
            </w:r>
          </w:p>
        </w:tc>
        <w:tc>
          <w:tcPr>
            <w:tcW w:w="990" w:type="dxa"/>
            <w:vAlign w:val="center"/>
          </w:tcPr>
          <w:p w14:paraId="356A4453" w14:textId="77777777" w:rsidR="00DF31E7" w:rsidRPr="000B7A97" w:rsidRDefault="00DF31E7" w:rsidP="00DF31E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1933</w:t>
            </w:r>
          </w:p>
        </w:tc>
        <w:tc>
          <w:tcPr>
            <w:tcW w:w="1260" w:type="dxa"/>
            <w:vAlign w:val="center"/>
          </w:tcPr>
          <w:p w14:paraId="48CBF29A" w14:textId="77777777" w:rsidR="00DF31E7" w:rsidRPr="000B7A97" w:rsidRDefault="00DF31E7" w:rsidP="00DF31E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271.423</w:t>
            </w:r>
          </w:p>
        </w:tc>
        <w:tc>
          <w:tcPr>
            <w:tcW w:w="1440" w:type="dxa"/>
            <w:vAlign w:val="center"/>
          </w:tcPr>
          <w:p w14:paraId="5326DE9A" w14:textId="77777777" w:rsidR="00DF31E7" w:rsidRPr="000B7A97" w:rsidRDefault="00DF31E7" w:rsidP="00DF31E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181.486</w:t>
            </w:r>
          </w:p>
        </w:tc>
        <w:tc>
          <w:tcPr>
            <w:tcW w:w="1350" w:type="dxa"/>
            <w:vAlign w:val="center"/>
          </w:tcPr>
          <w:p w14:paraId="15369FED" w14:textId="77777777" w:rsidR="00DF31E7" w:rsidRPr="000B7A97" w:rsidRDefault="00DF31E7" w:rsidP="00DF31E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-81.859</w:t>
            </w:r>
          </w:p>
        </w:tc>
        <w:tc>
          <w:tcPr>
            <w:tcW w:w="1206" w:type="dxa"/>
            <w:vAlign w:val="center"/>
          </w:tcPr>
          <w:p w14:paraId="6BA202BD" w14:textId="77777777" w:rsidR="00DF31E7" w:rsidRPr="000B7A97" w:rsidRDefault="00DF31E7" w:rsidP="00DF31E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1134.734</w:t>
            </w:r>
          </w:p>
        </w:tc>
      </w:tr>
      <w:tr w:rsidR="000B7A97" w:rsidRPr="000B7A97" w14:paraId="4641D34F"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5EB96B8" w14:textId="77777777" w:rsidR="000B7A97" w:rsidRPr="000B7A97" w:rsidRDefault="000B7A97" w:rsidP="000B7A97">
            <w:pPr>
              <w:spacing w:line="240" w:lineRule="auto"/>
              <w:jc w:val="left"/>
              <w:rPr>
                <w:sz w:val="20"/>
              </w:rPr>
            </w:pPr>
            <w:r w:rsidRPr="000B7A97">
              <w:rPr>
                <w:sz w:val="20"/>
              </w:rPr>
              <w:t>Colombia</w:t>
            </w:r>
          </w:p>
        </w:tc>
        <w:tc>
          <w:tcPr>
            <w:tcW w:w="990" w:type="dxa"/>
            <w:vAlign w:val="center"/>
          </w:tcPr>
          <w:p w14:paraId="0A01D110"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1092</w:t>
            </w:r>
          </w:p>
        </w:tc>
        <w:tc>
          <w:tcPr>
            <w:tcW w:w="1260" w:type="dxa"/>
            <w:vAlign w:val="center"/>
          </w:tcPr>
          <w:p w14:paraId="02BDF97B" w14:textId="27F1084B" w:rsidR="000B7A97" w:rsidRPr="000B7A97" w:rsidRDefault="00411C81"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251.524</w:t>
            </w:r>
          </w:p>
        </w:tc>
        <w:tc>
          <w:tcPr>
            <w:tcW w:w="1440" w:type="dxa"/>
            <w:vAlign w:val="center"/>
          </w:tcPr>
          <w:p w14:paraId="4D188CAB" w14:textId="5642239B"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183.400</w:t>
            </w:r>
          </w:p>
        </w:tc>
        <w:tc>
          <w:tcPr>
            <w:tcW w:w="1350" w:type="dxa"/>
            <w:vAlign w:val="center"/>
          </w:tcPr>
          <w:p w14:paraId="41D963AD"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-48.366</w:t>
            </w:r>
          </w:p>
        </w:tc>
        <w:tc>
          <w:tcPr>
            <w:tcW w:w="1206" w:type="dxa"/>
            <w:vAlign w:val="center"/>
          </w:tcPr>
          <w:p w14:paraId="4BD1AF60" w14:textId="3DC393C2"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776.907</w:t>
            </w:r>
          </w:p>
        </w:tc>
      </w:tr>
      <w:tr w:rsidR="000B7A97" w:rsidRPr="000B7A97" w14:paraId="29E01CCE"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6546AF1" w14:textId="77777777" w:rsidR="000B7A97" w:rsidRPr="000B7A97" w:rsidRDefault="000B7A97" w:rsidP="000B7A97">
            <w:pPr>
              <w:spacing w:line="240" w:lineRule="auto"/>
              <w:jc w:val="left"/>
              <w:rPr>
                <w:sz w:val="20"/>
              </w:rPr>
            </w:pPr>
            <w:r w:rsidRPr="000B7A97">
              <w:rPr>
                <w:sz w:val="20"/>
              </w:rPr>
              <w:t>Czech Republic</w:t>
            </w:r>
          </w:p>
        </w:tc>
        <w:tc>
          <w:tcPr>
            <w:tcW w:w="990" w:type="dxa"/>
            <w:vAlign w:val="center"/>
          </w:tcPr>
          <w:p w14:paraId="4F97994F" w14:textId="564CC989"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168</w:t>
            </w:r>
          </w:p>
        </w:tc>
        <w:tc>
          <w:tcPr>
            <w:tcW w:w="1260" w:type="dxa"/>
            <w:vAlign w:val="center"/>
          </w:tcPr>
          <w:p w14:paraId="05E14BE9" w14:textId="565E066E" w:rsidR="000B7A97" w:rsidRPr="000B7A97" w:rsidRDefault="00411C81"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143.840</w:t>
            </w:r>
          </w:p>
        </w:tc>
        <w:tc>
          <w:tcPr>
            <w:tcW w:w="1440" w:type="dxa"/>
            <w:vAlign w:val="center"/>
          </w:tcPr>
          <w:p w14:paraId="2F29E5D0" w14:textId="425CD21E"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159.744</w:t>
            </w:r>
          </w:p>
        </w:tc>
        <w:tc>
          <w:tcPr>
            <w:tcW w:w="1350" w:type="dxa"/>
            <w:vAlign w:val="center"/>
          </w:tcPr>
          <w:p w14:paraId="756230EE" w14:textId="5ADC7E82"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37.521</w:t>
            </w:r>
          </w:p>
        </w:tc>
        <w:tc>
          <w:tcPr>
            <w:tcW w:w="1206" w:type="dxa"/>
            <w:vAlign w:val="center"/>
          </w:tcPr>
          <w:p w14:paraId="52FC0888" w14:textId="41293F55"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435.80</w:t>
            </w:r>
            <w:r w:rsidR="00695E92">
              <w:rPr>
                <w:sz w:val="20"/>
              </w:rPr>
              <w:t>4</w:t>
            </w:r>
          </w:p>
        </w:tc>
      </w:tr>
      <w:tr w:rsidR="00A84EC3" w:rsidRPr="000B7A97" w14:paraId="0A0C9E3F" w14:textId="77777777" w:rsidTr="00A84EC3">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34223AF" w14:textId="77777777" w:rsidR="00A84EC3" w:rsidRPr="000B7A97" w:rsidRDefault="00A84EC3" w:rsidP="00A84EC3">
            <w:pPr>
              <w:spacing w:line="240" w:lineRule="auto"/>
              <w:jc w:val="left"/>
              <w:rPr>
                <w:sz w:val="20"/>
              </w:rPr>
            </w:pPr>
            <w:r w:rsidRPr="000B7A97">
              <w:rPr>
                <w:sz w:val="20"/>
              </w:rPr>
              <w:t>India</w:t>
            </w:r>
          </w:p>
        </w:tc>
        <w:tc>
          <w:tcPr>
            <w:tcW w:w="990" w:type="dxa"/>
            <w:vAlign w:val="center"/>
          </w:tcPr>
          <w:p w14:paraId="4B5FF5DF"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1092</w:t>
            </w:r>
          </w:p>
        </w:tc>
        <w:tc>
          <w:tcPr>
            <w:tcW w:w="1260" w:type="dxa"/>
            <w:vAlign w:val="center"/>
          </w:tcPr>
          <w:p w14:paraId="3B684B3F"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279.114</w:t>
            </w:r>
          </w:p>
        </w:tc>
        <w:tc>
          <w:tcPr>
            <w:tcW w:w="1440" w:type="dxa"/>
            <w:vAlign w:val="center"/>
          </w:tcPr>
          <w:p w14:paraId="2B1B848F"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153.35</w:t>
            </w:r>
            <w:r>
              <w:rPr>
                <w:sz w:val="20"/>
              </w:rPr>
              <w:t>7</w:t>
            </w:r>
          </w:p>
        </w:tc>
        <w:tc>
          <w:tcPr>
            <w:tcW w:w="1350" w:type="dxa"/>
            <w:vAlign w:val="center"/>
          </w:tcPr>
          <w:p w14:paraId="59B91F2A"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-7.726</w:t>
            </w:r>
          </w:p>
        </w:tc>
        <w:tc>
          <w:tcPr>
            <w:tcW w:w="1206" w:type="dxa"/>
            <w:vAlign w:val="center"/>
          </w:tcPr>
          <w:p w14:paraId="2DED7775"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741.086</w:t>
            </w:r>
          </w:p>
        </w:tc>
      </w:tr>
      <w:tr w:rsidR="000B7A97" w:rsidRPr="000B7A97" w14:paraId="736F6B2F"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5BDC4AF" w14:textId="77777777" w:rsidR="000B7A97" w:rsidRPr="000B7A97" w:rsidRDefault="000B7A97" w:rsidP="000B7A97">
            <w:pPr>
              <w:spacing w:line="240" w:lineRule="auto"/>
              <w:jc w:val="left"/>
              <w:rPr>
                <w:sz w:val="20"/>
              </w:rPr>
            </w:pPr>
            <w:r w:rsidRPr="000B7A97">
              <w:rPr>
                <w:sz w:val="20"/>
              </w:rPr>
              <w:t>Indonesia</w:t>
            </w:r>
          </w:p>
        </w:tc>
        <w:tc>
          <w:tcPr>
            <w:tcW w:w="990" w:type="dxa"/>
            <w:vAlign w:val="center"/>
          </w:tcPr>
          <w:p w14:paraId="2C2F29BE" w14:textId="68C43C7A"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252</w:t>
            </w:r>
          </w:p>
        </w:tc>
        <w:tc>
          <w:tcPr>
            <w:tcW w:w="1260" w:type="dxa"/>
            <w:vAlign w:val="center"/>
          </w:tcPr>
          <w:p w14:paraId="28613265" w14:textId="702991E2"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337.499</w:t>
            </w:r>
          </w:p>
        </w:tc>
        <w:tc>
          <w:tcPr>
            <w:tcW w:w="1440" w:type="dxa"/>
            <w:vAlign w:val="center"/>
          </w:tcPr>
          <w:p w14:paraId="33D71466" w14:textId="5199938A" w:rsidR="000B7A97" w:rsidRPr="000B7A97" w:rsidRDefault="000B7A97"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121.26</w:t>
            </w:r>
            <w:r w:rsidR="00695E92">
              <w:rPr>
                <w:sz w:val="20"/>
              </w:rPr>
              <w:t>5</w:t>
            </w:r>
          </w:p>
        </w:tc>
        <w:tc>
          <w:tcPr>
            <w:tcW w:w="1350" w:type="dxa"/>
            <w:vAlign w:val="center"/>
          </w:tcPr>
          <w:p w14:paraId="5D366060" w14:textId="0527C161"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17.890</w:t>
            </w:r>
          </w:p>
        </w:tc>
        <w:tc>
          <w:tcPr>
            <w:tcW w:w="1206" w:type="dxa"/>
            <w:vAlign w:val="center"/>
          </w:tcPr>
          <w:p w14:paraId="0A1C1C1E" w14:textId="5BBD4F1D"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612.802</w:t>
            </w:r>
          </w:p>
        </w:tc>
      </w:tr>
      <w:tr w:rsidR="000B7A97" w:rsidRPr="000B7A97" w14:paraId="2DE58E34"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F385E62" w14:textId="77777777" w:rsidR="000B7A97" w:rsidRPr="000B7A97" w:rsidRDefault="000B7A97" w:rsidP="000B7A97">
            <w:pPr>
              <w:spacing w:line="240" w:lineRule="auto"/>
              <w:jc w:val="left"/>
              <w:rPr>
                <w:sz w:val="20"/>
              </w:rPr>
            </w:pPr>
            <w:r w:rsidRPr="000B7A97">
              <w:rPr>
                <w:sz w:val="20"/>
              </w:rPr>
              <w:t>Korea</w:t>
            </w:r>
          </w:p>
        </w:tc>
        <w:tc>
          <w:tcPr>
            <w:tcW w:w="990" w:type="dxa"/>
            <w:vAlign w:val="center"/>
          </w:tcPr>
          <w:p w14:paraId="2089ABC5"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3109</w:t>
            </w:r>
          </w:p>
        </w:tc>
        <w:tc>
          <w:tcPr>
            <w:tcW w:w="1260" w:type="dxa"/>
            <w:vAlign w:val="center"/>
          </w:tcPr>
          <w:p w14:paraId="5C8F7A0F" w14:textId="390B613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295.444</w:t>
            </w:r>
          </w:p>
        </w:tc>
        <w:tc>
          <w:tcPr>
            <w:tcW w:w="1440" w:type="dxa"/>
            <w:vAlign w:val="center"/>
          </w:tcPr>
          <w:p w14:paraId="074A74F5" w14:textId="55FB1143"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186.577</w:t>
            </w:r>
          </w:p>
        </w:tc>
        <w:tc>
          <w:tcPr>
            <w:tcW w:w="1350" w:type="dxa"/>
            <w:vAlign w:val="center"/>
          </w:tcPr>
          <w:p w14:paraId="4E7596DF" w14:textId="1E2C12BB" w:rsidR="000B7A97" w:rsidRPr="000B7A97" w:rsidRDefault="00695E92"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-52.498</w:t>
            </w:r>
          </w:p>
        </w:tc>
        <w:tc>
          <w:tcPr>
            <w:tcW w:w="1206" w:type="dxa"/>
            <w:vAlign w:val="center"/>
          </w:tcPr>
          <w:p w14:paraId="1029C7E0" w14:textId="1C9F3ED4"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1018.801</w:t>
            </w:r>
          </w:p>
        </w:tc>
      </w:tr>
      <w:tr w:rsidR="00A84EC3" w:rsidRPr="000B7A97" w14:paraId="676D2C00" w14:textId="77777777" w:rsidTr="00A84EC3">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4DD4705" w14:textId="77777777" w:rsidR="00A84EC3" w:rsidRPr="000B7A97" w:rsidRDefault="00A84EC3" w:rsidP="00A84EC3">
            <w:pPr>
              <w:spacing w:line="240" w:lineRule="auto"/>
              <w:jc w:val="left"/>
              <w:rPr>
                <w:sz w:val="20"/>
              </w:rPr>
            </w:pPr>
            <w:r w:rsidRPr="000B7A97">
              <w:rPr>
                <w:sz w:val="20"/>
              </w:rPr>
              <w:t>Malaysia</w:t>
            </w:r>
          </w:p>
        </w:tc>
        <w:tc>
          <w:tcPr>
            <w:tcW w:w="990" w:type="dxa"/>
            <w:vAlign w:val="center"/>
          </w:tcPr>
          <w:p w14:paraId="67FA8B04"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756</w:t>
            </w:r>
          </w:p>
        </w:tc>
        <w:tc>
          <w:tcPr>
            <w:tcW w:w="1260" w:type="dxa"/>
            <w:vAlign w:val="center"/>
          </w:tcPr>
          <w:p w14:paraId="11B41091"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222.269</w:t>
            </w:r>
          </w:p>
        </w:tc>
        <w:tc>
          <w:tcPr>
            <w:tcW w:w="1440" w:type="dxa"/>
            <w:vAlign w:val="center"/>
          </w:tcPr>
          <w:p w14:paraId="43EC44AC"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166.59</w:t>
            </w:r>
            <w:r>
              <w:rPr>
                <w:sz w:val="20"/>
              </w:rPr>
              <w:t>3</w:t>
            </w:r>
          </w:p>
        </w:tc>
        <w:tc>
          <w:tcPr>
            <w:tcW w:w="1350" w:type="dxa"/>
            <w:vAlign w:val="center"/>
          </w:tcPr>
          <w:p w14:paraId="5A134496"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-189.937</w:t>
            </w:r>
          </w:p>
        </w:tc>
        <w:tc>
          <w:tcPr>
            <w:tcW w:w="1206" w:type="dxa"/>
            <w:vAlign w:val="center"/>
          </w:tcPr>
          <w:p w14:paraId="303B20FC"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610.240</w:t>
            </w:r>
          </w:p>
        </w:tc>
      </w:tr>
      <w:tr w:rsidR="00A84EC3" w:rsidRPr="000B7A97" w14:paraId="70DB6711" w14:textId="77777777" w:rsidTr="00A84EC3">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7BF456DD" w14:textId="77777777" w:rsidR="00A84EC3" w:rsidRPr="000B7A97" w:rsidRDefault="00A84EC3" w:rsidP="00A84EC3">
            <w:pPr>
              <w:spacing w:line="240" w:lineRule="auto"/>
              <w:jc w:val="left"/>
              <w:rPr>
                <w:sz w:val="20"/>
              </w:rPr>
            </w:pPr>
            <w:r w:rsidRPr="000B7A97">
              <w:rPr>
                <w:sz w:val="20"/>
              </w:rPr>
              <w:t>Mexico</w:t>
            </w:r>
          </w:p>
        </w:tc>
        <w:tc>
          <w:tcPr>
            <w:tcW w:w="990" w:type="dxa"/>
            <w:vAlign w:val="center"/>
          </w:tcPr>
          <w:p w14:paraId="67B5507F"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2605</w:t>
            </w:r>
          </w:p>
        </w:tc>
        <w:tc>
          <w:tcPr>
            <w:tcW w:w="1260" w:type="dxa"/>
            <w:vAlign w:val="center"/>
          </w:tcPr>
          <w:p w14:paraId="31DE0DDA"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250.828</w:t>
            </w:r>
          </w:p>
        </w:tc>
        <w:tc>
          <w:tcPr>
            <w:tcW w:w="1440" w:type="dxa"/>
            <w:vAlign w:val="center"/>
          </w:tcPr>
          <w:p w14:paraId="2EC62562"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195.32</w:t>
            </w:r>
            <w:r>
              <w:rPr>
                <w:sz w:val="20"/>
              </w:rPr>
              <w:t>3</w:t>
            </w:r>
          </w:p>
        </w:tc>
        <w:tc>
          <w:tcPr>
            <w:tcW w:w="1350" w:type="dxa"/>
            <w:vAlign w:val="center"/>
          </w:tcPr>
          <w:p w14:paraId="0294FB7E"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-138.898</w:t>
            </w:r>
          </w:p>
        </w:tc>
        <w:tc>
          <w:tcPr>
            <w:tcW w:w="1206" w:type="dxa"/>
            <w:vAlign w:val="center"/>
          </w:tcPr>
          <w:p w14:paraId="2880D0EA" w14:textId="77777777" w:rsidR="00A84EC3" w:rsidRPr="000B7A97" w:rsidRDefault="00A84EC3" w:rsidP="00A84EC3">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1141.767</w:t>
            </w:r>
          </w:p>
        </w:tc>
      </w:tr>
      <w:tr w:rsidR="000B7A97" w:rsidRPr="000B7A97" w14:paraId="5F690462"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A8D32B6" w14:textId="77777777" w:rsidR="000B7A97" w:rsidRPr="000B7A97" w:rsidRDefault="000B7A97" w:rsidP="000B7A97">
            <w:pPr>
              <w:spacing w:line="240" w:lineRule="auto"/>
              <w:jc w:val="left"/>
              <w:rPr>
                <w:sz w:val="20"/>
              </w:rPr>
            </w:pPr>
            <w:r w:rsidRPr="000B7A97">
              <w:rPr>
                <w:sz w:val="20"/>
              </w:rPr>
              <w:t>Morocco</w:t>
            </w:r>
          </w:p>
        </w:tc>
        <w:tc>
          <w:tcPr>
            <w:tcW w:w="990" w:type="dxa"/>
            <w:vAlign w:val="center"/>
          </w:tcPr>
          <w:p w14:paraId="75DF5771"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42</w:t>
            </w:r>
          </w:p>
        </w:tc>
        <w:tc>
          <w:tcPr>
            <w:tcW w:w="1260" w:type="dxa"/>
            <w:vAlign w:val="center"/>
          </w:tcPr>
          <w:p w14:paraId="142A7666" w14:textId="48D3C394" w:rsidR="000B7A97" w:rsidRPr="000B7A97" w:rsidRDefault="00411C81"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379.203</w:t>
            </w:r>
          </w:p>
        </w:tc>
        <w:tc>
          <w:tcPr>
            <w:tcW w:w="1440" w:type="dxa"/>
            <w:vAlign w:val="center"/>
          </w:tcPr>
          <w:p w14:paraId="3C0CF3B5" w14:textId="6931121C" w:rsidR="000B7A97" w:rsidRPr="000B7A97" w:rsidRDefault="000B7A97"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151.23</w:t>
            </w:r>
            <w:r w:rsidR="00695E92">
              <w:rPr>
                <w:sz w:val="20"/>
              </w:rPr>
              <w:t>2</w:t>
            </w:r>
          </w:p>
        </w:tc>
        <w:tc>
          <w:tcPr>
            <w:tcW w:w="1350" w:type="dxa"/>
            <w:vAlign w:val="center"/>
          </w:tcPr>
          <w:p w14:paraId="57EE39A0" w14:textId="2DE871CF"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-25.128</w:t>
            </w:r>
          </w:p>
        </w:tc>
        <w:tc>
          <w:tcPr>
            <w:tcW w:w="1206" w:type="dxa"/>
            <w:vAlign w:val="center"/>
          </w:tcPr>
          <w:p w14:paraId="692584EA"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473.253</w:t>
            </w:r>
          </w:p>
        </w:tc>
      </w:tr>
      <w:tr w:rsidR="000B7A97" w:rsidRPr="000B7A97" w14:paraId="7022D19B"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B0724E5" w14:textId="77777777" w:rsidR="000B7A97" w:rsidRPr="000B7A97" w:rsidRDefault="000B7A97" w:rsidP="000B7A97">
            <w:pPr>
              <w:spacing w:line="240" w:lineRule="auto"/>
              <w:jc w:val="left"/>
              <w:rPr>
                <w:sz w:val="20"/>
              </w:rPr>
            </w:pPr>
            <w:r w:rsidRPr="000B7A97">
              <w:rPr>
                <w:sz w:val="20"/>
              </w:rPr>
              <w:t>Peru</w:t>
            </w:r>
          </w:p>
        </w:tc>
        <w:tc>
          <w:tcPr>
            <w:tcW w:w="990" w:type="dxa"/>
            <w:vAlign w:val="center"/>
          </w:tcPr>
          <w:p w14:paraId="1C1F42B4"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1386</w:t>
            </w:r>
          </w:p>
        </w:tc>
        <w:tc>
          <w:tcPr>
            <w:tcW w:w="1260" w:type="dxa"/>
            <w:vAlign w:val="center"/>
          </w:tcPr>
          <w:p w14:paraId="764EC13D" w14:textId="08E31D99"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192.382</w:t>
            </w:r>
          </w:p>
        </w:tc>
        <w:tc>
          <w:tcPr>
            <w:tcW w:w="1440" w:type="dxa"/>
            <w:vAlign w:val="center"/>
          </w:tcPr>
          <w:p w14:paraId="465836CC" w14:textId="20CD2409" w:rsidR="000B7A97" w:rsidRPr="000B7A97" w:rsidRDefault="000B7A97"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127.19</w:t>
            </w:r>
            <w:r w:rsidR="00695E92">
              <w:rPr>
                <w:sz w:val="20"/>
              </w:rPr>
              <w:t>8</w:t>
            </w:r>
          </w:p>
        </w:tc>
        <w:tc>
          <w:tcPr>
            <w:tcW w:w="1350" w:type="dxa"/>
            <w:vAlign w:val="center"/>
          </w:tcPr>
          <w:p w14:paraId="413B10D8" w14:textId="463CE49C"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-72.168</w:t>
            </w:r>
          </w:p>
        </w:tc>
        <w:tc>
          <w:tcPr>
            <w:tcW w:w="1206" w:type="dxa"/>
            <w:vAlign w:val="center"/>
          </w:tcPr>
          <w:p w14:paraId="1201F50E" w14:textId="51AA116B"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612.192</w:t>
            </w:r>
          </w:p>
        </w:tc>
      </w:tr>
      <w:tr w:rsidR="000B7A97" w:rsidRPr="000B7A97" w14:paraId="296C6591"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2D01801" w14:textId="77777777" w:rsidR="000B7A97" w:rsidRPr="000B7A97" w:rsidRDefault="000B7A97" w:rsidP="000B7A97">
            <w:pPr>
              <w:spacing w:line="240" w:lineRule="auto"/>
              <w:jc w:val="left"/>
              <w:rPr>
                <w:sz w:val="20"/>
              </w:rPr>
            </w:pPr>
            <w:r w:rsidRPr="000B7A97">
              <w:rPr>
                <w:sz w:val="20"/>
              </w:rPr>
              <w:t>Philippines</w:t>
            </w:r>
          </w:p>
        </w:tc>
        <w:tc>
          <w:tcPr>
            <w:tcW w:w="990" w:type="dxa"/>
            <w:vAlign w:val="center"/>
          </w:tcPr>
          <w:p w14:paraId="04359909" w14:textId="43E2C40F"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672</w:t>
            </w:r>
          </w:p>
        </w:tc>
        <w:tc>
          <w:tcPr>
            <w:tcW w:w="1260" w:type="dxa"/>
            <w:vAlign w:val="center"/>
          </w:tcPr>
          <w:p w14:paraId="173CAA5E" w14:textId="05980768" w:rsidR="000B7A97" w:rsidRPr="000B7A97" w:rsidRDefault="00411C81"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468.158</w:t>
            </w:r>
          </w:p>
        </w:tc>
        <w:tc>
          <w:tcPr>
            <w:tcW w:w="1440" w:type="dxa"/>
            <w:vAlign w:val="center"/>
          </w:tcPr>
          <w:p w14:paraId="0D60962F" w14:textId="78EC2311"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843.300</w:t>
            </w:r>
          </w:p>
        </w:tc>
        <w:tc>
          <w:tcPr>
            <w:tcW w:w="1350" w:type="dxa"/>
            <w:vAlign w:val="center"/>
          </w:tcPr>
          <w:p w14:paraId="4D6E3C96" w14:textId="291B03F3"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-43.263</w:t>
            </w:r>
          </w:p>
        </w:tc>
        <w:tc>
          <w:tcPr>
            <w:tcW w:w="1206" w:type="dxa"/>
            <w:vAlign w:val="center"/>
          </w:tcPr>
          <w:p w14:paraId="19172ED5" w14:textId="200FCCCF"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4128.393</w:t>
            </w:r>
          </w:p>
        </w:tc>
      </w:tr>
      <w:tr w:rsidR="000B7A97" w:rsidRPr="000B7A97" w14:paraId="1476AA6E"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3E812A64" w14:textId="77777777" w:rsidR="000B7A97" w:rsidRPr="000B7A97" w:rsidRDefault="000B7A97" w:rsidP="000B7A97">
            <w:pPr>
              <w:spacing w:line="240" w:lineRule="auto"/>
              <w:jc w:val="left"/>
              <w:rPr>
                <w:sz w:val="20"/>
              </w:rPr>
            </w:pPr>
            <w:r w:rsidRPr="000B7A97">
              <w:rPr>
                <w:sz w:val="20"/>
              </w:rPr>
              <w:t>Russia</w:t>
            </w:r>
          </w:p>
        </w:tc>
        <w:tc>
          <w:tcPr>
            <w:tcW w:w="990" w:type="dxa"/>
            <w:vAlign w:val="center"/>
          </w:tcPr>
          <w:p w14:paraId="7C441970"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84</w:t>
            </w:r>
          </w:p>
        </w:tc>
        <w:tc>
          <w:tcPr>
            <w:tcW w:w="1260" w:type="dxa"/>
            <w:vAlign w:val="center"/>
          </w:tcPr>
          <w:p w14:paraId="5B90D918" w14:textId="3460C2A6"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165.582</w:t>
            </w:r>
          </w:p>
        </w:tc>
        <w:tc>
          <w:tcPr>
            <w:tcW w:w="1440" w:type="dxa"/>
            <w:vAlign w:val="center"/>
          </w:tcPr>
          <w:p w14:paraId="5EE54DDA"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77.553</w:t>
            </w:r>
          </w:p>
        </w:tc>
        <w:tc>
          <w:tcPr>
            <w:tcW w:w="1350" w:type="dxa"/>
            <w:vAlign w:val="center"/>
          </w:tcPr>
          <w:p w14:paraId="1DE87FC3" w14:textId="3BBE5625"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-2.520</w:t>
            </w:r>
          </w:p>
        </w:tc>
        <w:tc>
          <w:tcPr>
            <w:tcW w:w="1206" w:type="dxa"/>
            <w:vAlign w:val="center"/>
          </w:tcPr>
          <w:p w14:paraId="7B7A0DF7" w14:textId="1D37A8E8"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321.188</w:t>
            </w:r>
          </w:p>
        </w:tc>
      </w:tr>
      <w:tr w:rsidR="000B7A97" w:rsidRPr="000B7A97" w14:paraId="7E5B9600"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774EE71" w14:textId="77777777" w:rsidR="000B7A97" w:rsidRPr="000B7A97" w:rsidRDefault="000B7A97" w:rsidP="000B7A97">
            <w:pPr>
              <w:spacing w:line="240" w:lineRule="auto"/>
              <w:jc w:val="left"/>
              <w:rPr>
                <w:sz w:val="20"/>
              </w:rPr>
            </w:pPr>
            <w:r w:rsidRPr="000B7A97">
              <w:rPr>
                <w:sz w:val="20"/>
              </w:rPr>
              <w:t>Thailand</w:t>
            </w:r>
          </w:p>
        </w:tc>
        <w:tc>
          <w:tcPr>
            <w:tcW w:w="990" w:type="dxa"/>
            <w:vAlign w:val="center"/>
          </w:tcPr>
          <w:p w14:paraId="4BEC2C88"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1008</w:t>
            </w:r>
          </w:p>
        </w:tc>
        <w:tc>
          <w:tcPr>
            <w:tcW w:w="1260" w:type="dxa"/>
            <w:vAlign w:val="center"/>
          </w:tcPr>
          <w:p w14:paraId="3E75422F" w14:textId="053D5165" w:rsidR="000B7A97" w:rsidRPr="000B7A97" w:rsidRDefault="00411C81"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330.516</w:t>
            </w:r>
          </w:p>
        </w:tc>
        <w:tc>
          <w:tcPr>
            <w:tcW w:w="1440" w:type="dxa"/>
            <w:vAlign w:val="center"/>
          </w:tcPr>
          <w:p w14:paraId="3378EAAE" w14:textId="1F6F1887"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280.016</w:t>
            </w:r>
          </w:p>
        </w:tc>
        <w:tc>
          <w:tcPr>
            <w:tcW w:w="1350" w:type="dxa"/>
            <w:vAlign w:val="center"/>
          </w:tcPr>
          <w:p w14:paraId="40CFD460" w14:textId="458B3D9E" w:rsidR="000B7A97" w:rsidRPr="000B7A97" w:rsidRDefault="00695E92"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-40.951</w:t>
            </w:r>
          </w:p>
        </w:tc>
        <w:tc>
          <w:tcPr>
            <w:tcW w:w="1206" w:type="dxa"/>
            <w:vAlign w:val="center"/>
          </w:tcPr>
          <w:p w14:paraId="00134570" w14:textId="4F9166E6"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1242.602</w:t>
            </w:r>
          </w:p>
        </w:tc>
      </w:tr>
      <w:tr w:rsidR="000B7A97" w:rsidRPr="000B7A97" w14:paraId="69BC83A3" w14:textId="77777777" w:rsidTr="000B7A97">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A9686AC" w14:textId="77777777" w:rsidR="000B7A97" w:rsidRPr="000B7A97" w:rsidRDefault="000B7A97" w:rsidP="000B7A97">
            <w:pPr>
              <w:spacing w:line="240" w:lineRule="auto"/>
              <w:jc w:val="left"/>
              <w:rPr>
                <w:sz w:val="20"/>
              </w:rPr>
            </w:pPr>
            <w:r w:rsidRPr="000B7A97">
              <w:rPr>
                <w:sz w:val="20"/>
              </w:rPr>
              <w:t>Turkey</w:t>
            </w:r>
          </w:p>
        </w:tc>
        <w:tc>
          <w:tcPr>
            <w:tcW w:w="990" w:type="dxa"/>
            <w:vAlign w:val="center"/>
          </w:tcPr>
          <w:p w14:paraId="1BB941BD" w14:textId="7777777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8994</w:t>
            </w:r>
          </w:p>
        </w:tc>
        <w:tc>
          <w:tcPr>
            <w:tcW w:w="1260" w:type="dxa"/>
            <w:vAlign w:val="center"/>
          </w:tcPr>
          <w:p w14:paraId="2D1BAD8D" w14:textId="18256DDC"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187.245</w:t>
            </w:r>
          </w:p>
        </w:tc>
        <w:tc>
          <w:tcPr>
            <w:tcW w:w="1440" w:type="dxa"/>
            <w:vAlign w:val="center"/>
          </w:tcPr>
          <w:p w14:paraId="19DDD56A" w14:textId="756861F5" w:rsidR="000B7A97" w:rsidRPr="000B7A97" w:rsidRDefault="000B7A97" w:rsidP="00695E92">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182.54</w:t>
            </w:r>
            <w:r w:rsidR="00695E92">
              <w:rPr>
                <w:sz w:val="20"/>
              </w:rPr>
              <w:t>1</w:t>
            </w:r>
          </w:p>
        </w:tc>
        <w:tc>
          <w:tcPr>
            <w:tcW w:w="1350" w:type="dxa"/>
            <w:vAlign w:val="center"/>
          </w:tcPr>
          <w:p w14:paraId="6E50F927" w14:textId="4EE30D42"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w:t>
            </w:r>
            <w:r w:rsidR="00695E92">
              <w:rPr>
                <w:sz w:val="20"/>
              </w:rPr>
              <w:t>66.270</w:t>
            </w:r>
          </w:p>
        </w:tc>
        <w:tc>
          <w:tcPr>
            <w:tcW w:w="1206" w:type="dxa"/>
            <w:vAlign w:val="center"/>
          </w:tcPr>
          <w:p w14:paraId="33734F78" w14:textId="6EF45567" w:rsidR="000B7A97" w:rsidRPr="000B7A97" w:rsidRDefault="000B7A97" w:rsidP="000B7A97">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0B7A97">
              <w:rPr>
                <w:sz w:val="20"/>
              </w:rPr>
              <w:t>1356.448</w:t>
            </w:r>
          </w:p>
        </w:tc>
      </w:tr>
    </w:tbl>
    <w:p w14:paraId="53AD31C9" w14:textId="77777777" w:rsidR="009C43A6" w:rsidRDefault="009C43A6" w:rsidP="00D520A3"/>
    <w:p w14:paraId="230E2C87" w14:textId="51DB05A8" w:rsidR="000B7A97" w:rsidRDefault="000B7A97" w:rsidP="000B7A97">
      <w:r>
        <w:t>Table 1. Panel B. Descriptive statistics of benchmark spread by industry</w:t>
      </w:r>
      <w:r w:rsidR="00A84EC3">
        <w:t xml:space="preserve"> (</w:t>
      </w:r>
      <w:proofErr w:type="spellStart"/>
      <w:r w:rsidR="00A84EC3">
        <w:t>bp</w:t>
      </w:r>
      <w:proofErr w:type="spellEnd"/>
      <w:r w:rsidR="00A84EC3">
        <w:t>)</w:t>
      </w:r>
    </w:p>
    <w:tbl>
      <w:tblPr>
        <w:tblStyle w:val="Sombreadoclaro"/>
        <w:tblW w:w="0" w:type="auto"/>
        <w:tblLook w:val="06A0" w:firstRow="1" w:lastRow="0" w:firstColumn="1" w:lastColumn="0" w:noHBand="1" w:noVBand="1"/>
      </w:tblPr>
      <w:tblGrid>
        <w:gridCol w:w="1908"/>
        <w:gridCol w:w="990"/>
        <w:gridCol w:w="1314"/>
        <w:gridCol w:w="1386"/>
        <w:gridCol w:w="1315"/>
        <w:gridCol w:w="1295"/>
      </w:tblGrid>
      <w:tr w:rsidR="00411C81" w:rsidRPr="00411C81" w14:paraId="495193B7" w14:textId="77777777" w:rsidTr="00411C8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70989C0" w14:textId="34979710" w:rsidR="00411C81" w:rsidRPr="00411C81" w:rsidRDefault="00411C81" w:rsidP="00411C81">
            <w:pPr>
              <w:spacing w:line="240" w:lineRule="auto"/>
              <w:rPr>
                <w:sz w:val="20"/>
              </w:rPr>
            </w:pPr>
            <w:r w:rsidRPr="00411C81">
              <w:rPr>
                <w:sz w:val="20"/>
              </w:rPr>
              <w:t>Industry</w:t>
            </w:r>
          </w:p>
        </w:tc>
        <w:tc>
          <w:tcPr>
            <w:tcW w:w="990" w:type="dxa"/>
            <w:vAlign w:val="center"/>
          </w:tcPr>
          <w:p w14:paraId="33F64FD6" w14:textId="22DDAC1D" w:rsidR="00411C81" w:rsidRPr="00411C81" w:rsidRDefault="00411C81" w:rsidP="00411C81">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411C81">
              <w:rPr>
                <w:sz w:val="20"/>
              </w:rPr>
              <w:t>Obs</w:t>
            </w:r>
            <w:r w:rsidR="00DF31E7">
              <w:rPr>
                <w:sz w:val="20"/>
              </w:rPr>
              <w:t>.</w:t>
            </w:r>
          </w:p>
        </w:tc>
        <w:tc>
          <w:tcPr>
            <w:tcW w:w="1314" w:type="dxa"/>
            <w:vAlign w:val="center"/>
          </w:tcPr>
          <w:p w14:paraId="0B618A5B" w14:textId="77777777" w:rsidR="00411C81" w:rsidRPr="00411C81" w:rsidRDefault="00411C81" w:rsidP="00411C81">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411C81">
              <w:rPr>
                <w:sz w:val="20"/>
              </w:rPr>
              <w:t>Mean</w:t>
            </w:r>
          </w:p>
        </w:tc>
        <w:tc>
          <w:tcPr>
            <w:tcW w:w="1386" w:type="dxa"/>
            <w:vAlign w:val="center"/>
          </w:tcPr>
          <w:p w14:paraId="38056EB8" w14:textId="77777777" w:rsidR="00411C81" w:rsidRPr="00411C81" w:rsidRDefault="00411C81" w:rsidP="00411C81">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411C81">
              <w:rPr>
                <w:sz w:val="20"/>
              </w:rPr>
              <w:t>Std. Dev.</w:t>
            </w:r>
          </w:p>
        </w:tc>
        <w:tc>
          <w:tcPr>
            <w:tcW w:w="1315" w:type="dxa"/>
            <w:vAlign w:val="center"/>
          </w:tcPr>
          <w:p w14:paraId="43756262" w14:textId="392A0CBD" w:rsidR="00411C81" w:rsidRPr="00411C81" w:rsidRDefault="00411C81" w:rsidP="00411C81">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411C81">
              <w:rPr>
                <w:sz w:val="20"/>
              </w:rPr>
              <w:t>Min</w:t>
            </w:r>
          </w:p>
        </w:tc>
        <w:tc>
          <w:tcPr>
            <w:tcW w:w="1295" w:type="dxa"/>
            <w:vAlign w:val="center"/>
          </w:tcPr>
          <w:p w14:paraId="094C25C4" w14:textId="77777777" w:rsidR="00411C81" w:rsidRPr="00411C81" w:rsidRDefault="00411C81" w:rsidP="00411C81">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411C81">
              <w:rPr>
                <w:sz w:val="20"/>
              </w:rPr>
              <w:t>Max</w:t>
            </w:r>
          </w:p>
        </w:tc>
      </w:tr>
      <w:tr w:rsidR="00411C81" w:rsidRPr="00411C81" w14:paraId="795D3A38"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99CA035" w14:textId="64C51DD4" w:rsidR="00411C81" w:rsidRPr="00411C81" w:rsidRDefault="00411C81" w:rsidP="00411C81">
            <w:pPr>
              <w:spacing w:line="240" w:lineRule="auto"/>
              <w:rPr>
                <w:sz w:val="20"/>
              </w:rPr>
            </w:pPr>
            <w:r w:rsidRPr="00411C81">
              <w:rPr>
                <w:sz w:val="20"/>
                <w:lang w:val="de-DE"/>
              </w:rPr>
              <w:t>Financial</w:t>
            </w:r>
          </w:p>
        </w:tc>
        <w:tc>
          <w:tcPr>
            <w:tcW w:w="990" w:type="dxa"/>
            <w:vAlign w:val="center"/>
          </w:tcPr>
          <w:p w14:paraId="68BAEB17" w14:textId="1D3779D1"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15924</w:t>
            </w:r>
          </w:p>
        </w:tc>
        <w:tc>
          <w:tcPr>
            <w:tcW w:w="1314" w:type="dxa"/>
            <w:vAlign w:val="center"/>
          </w:tcPr>
          <w:p w14:paraId="65D9C963" w14:textId="7B57A01F"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201.196</w:t>
            </w:r>
          </w:p>
        </w:tc>
        <w:tc>
          <w:tcPr>
            <w:tcW w:w="1386" w:type="dxa"/>
            <w:vAlign w:val="center"/>
          </w:tcPr>
          <w:p w14:paraId="6F0FDAB7" w14:textId="720BB194"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191.606</w:t>
            </w:r>
          </w:p>
        </w:tc>
        <w:tc>
          <w:tcPr>
            <w:tcW w:w="1315" w:type="dxa"/>
            <w:vAlign w:val="center"/>
          </w:tcPr>
          <w:p w14:paraId="4E469311" w14:textId="76E76CBE"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-166.270</w:t>
            </w:r>
          </w:p>
        </w:tc>
        <w:tc>
          <w:tcPr>
            <w:tcW w:w="1295" w:type="dxa"/>
            <w:vAlign w:val="center"/>
          </w:tcPr>
          <w:p w14:paraId="0484E54C" w14:textId="74490184"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1356.448</w:t>
            </w:r>
          </w:p>
        </w:tc>
      </w:tr>
      <w:tr w:rsidR="00411C81" w:rsidRPr="00411C81" w14:paraId="32EDED16"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88F7D98" w14:textId="5E34DC0C" w:rsidR="00411C81" w:rsidRPr="00411C81" w:rsidRDefault="00724494" w:rsidP="00411C81">
            <w:pPr>
              <w:spacing w:line="240" w:lineRule="auto"/>
              <w:rPr>
                <w:sz w:val="20"/>
              </w:rPr>
            </w:pPr>
            <w:r>
              <w:rPr>
                <w:sz w:val="20"/>
              </w:rPr>
              <w:t>Basic Materials</w:t>
            </w:r>
          </w:p>
        </w:tc>
        <w:tc>
          <w:tcPr>
            <w:tcW w:w="990" w:type="dxa"/>
            <w:vAlign w:val="center"/>
          </w:tcPr>
          <w:p w14:paraId="03D1DE74" w14:textId="77777777"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2814</w:t>
            </w:r>
          </w:p>
        </w:tc>
        <w:tc>
          <w:tcPr>
            <w:tcW w:w="1314" w:type="dxa"/>
            <w:vAlign w:val="center"/>
          </w:tcPr>
          <w:p w14:paraId="254FBE64" w14:textId="796AC71B"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320.7</w:t>
            </w:r>
            <w:r w:rsidR="00695E92">
              <w:rPr>
                <w:sz w:val="20"/>
              </w:rPr>
              <w:t>06</w:t>
            </w:r>
          </w:p>
        </w:tc>
        <w:tc>
          <w:tcPr>
            <w:tcW w:w="1386" w:type="dxa"/>
            <w:vAlign w:val="center"/>
          </w:tcPr>
          <w:p w14:paraId="7F47C948" w14:textId="6999A3D3"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228.135</w:t>
            </w:r>
          </w:p>
        </w:tc>
        <w:tc>
          <w:tcPr>
            <w:tcW w:w="1315" w:type="dxa"/>
            <w:vAlign w:val="center"/>
          </w:tcPr>
          <w:p w14:paraId="0001CFE3" w14:textId="68B7E468"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-53.469</w:t>
            </w:r>
          </w:p>
        </w:tc>
        <w:tc>
          <w:tcPr>
            <w:tcW w:w="1295" w:type="dxa"/>
            <w:vAlign w:val="center"/>
          </w:tcPr>
          <w:p w14:paraId="6090ED56" w14:textId="490EF576"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1258.26</w:t>
            </w:r>
            <w:r w:rsidR="00695E92">
              <w:rPr>
                <w:sz w:val="20"/>
              </w:rPr>
              <w:t>0</w:t>
            </w:r>
          </w:p>
        </w:tc>
      </w:tr>
      <w:tr w:rsidR="00411C81" w:rsidRPr="00411C81" w14:paraId="50722B56"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CAD3B75" w14:textId="79164539" w:rsidR="00411C81" w:rsidRPr="00411C81" w:rsidRDefault="00724494" w:rsidP="00411C81">
            <w:pPr>
              <w:spacing w:line="240" w:lineRule="auto"/>
              <w:rPr>
                <w:sz w:val="20"/>
              </w:rPr>
            </w:pPr>
            <w:r>
              <w:rPr>
                <w:sz w:val="20"/>
              </w:rPr>
              <w:t>Industrial</w:t>
            </w:r>
          </w:p>
        </w:tc>
        <w:tc>
          <w:tcPr>
            <w:tcW w:w="990" w:type="dxa"/>
            <w:vAlign w:val="center"/>
          </w:tcPr>
          <w:p w14:paraId="4CCEE8DF" w14:textId="45F97E6F"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252</w:t>
            </w:r>
          </w:p>
        </w:tc>
        <w:tc>
          <w:tcPr>
            <w:tcW w:w="1314" w:type="dxa"/>
            <w:vAlign w:val="center"/>
          </w:tcPr>
          <w:p w14:paraId="38C8861C" w14:textId="087E855C"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228.765</w:t>
            </w:r>
          </w:p>
        </w:tc>
        <w:tc>
          <w:tcPr>
            <w:tcW w:w="1386" w:type="dxa"/>
            <w:vAlign w:val="center"/>
          </w:tcPr>
          <w:p w14:paraId="7FCDA481" w14:textId="0A8A89DE"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119.790</w:t>
            </w:r>
          </w:p>
        </w:tc>
        <w:tc>
          <w:tcPr>
            <w:tcW w:w="1315" w:type="dxa"/>
            <w:vAlign w:val="center"/>
          </w:tcPr>
          <w:p w14:paraId="0F2CDBE2" w14:textId="460A8C87"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99.037</w:t>
            </w:r>
          </w:p>
        </w:tc>
        <w:tc>
          <w:tcPr>
            <w:tcW w:w="1295" w:type="dxa"/>
            <w:vAlign w:val="center"/>
          </w:tcPr>
          <w:p w14:paraId="46FC19AF" w14:textId="0F743AC0"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505.8699</w:t>
            </w:r>
          </w:p>
        </w:tc>
      </w:tr>
      <w:tr w:rsidR="00411C81" w:rsidRPr="00411C81" w14:paraId="4C2C6BF9"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6F55723" w14:textId="463683C2" w:rsidR="00411C81" w:rsidRPr="00411C81" w:rsidRDefault="00724494" w:rsidP="00411C81">
            <w:pPr>
              <w:spacing w:line="240" w:lineRule="auto"/>
              <w:rPr>
                <w:sz w:val="20"/>
              </w:rPr>
            </w:pPr>
            <w:r>
              <w:rPr>
                <w:sz w:val="20"/>
              </w:rPr>
              <w:t>Consumer Goods</w:t>
            </w:r>
          </w:p>
        </w:tc>
        <w:tc>
          <w:tcPr>
            <w:tcW w:w="990" w:type="dxa"/>
            <w:vAlign w:val="center"/>
          </w:tcPr>
          <w:p w14:paraId="4D1CABD6" w14:textId="77777777"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3150</w:t>
            </w:r>
          </w:p>
        </w:tc>
        <w:tc>
          <w:tcPr>
            <w:tcW w:w="1314" w:type="dxa"/>
            <w:vAlign w:val="center"/>
          </w:tcPr>
          <w:p w14:paraId="5FF90D94" w14:textId="78FE83BB"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366.055</w:t>
            </w:r>
          </w:p>
        </w:tc>
        <w:tc>
          <w:tcPr>
            <w:tcW w:w="1386" w:type="dxa"/>
            <w:vAlign w:val="center"/>
          </w:tcPr>
          <w:p w14:paraId="708AC2A0" w14:textId="7FD7C6A3"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583.548</w:t>
            </w:r>
          </w:p>
        </w:tc>
        <w:tc>
          <w:tcPr>
            <w:tcW w:w="1315" w:type="dxa"/>
            <w:vAlign w:val="center"/>
          </w:tcPr>
          <w:p w14:paraId="1659687E" w14:textId="12BEB703"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-43.263</w:t>
            </w:r>
          </w:p>
        </w:tc>
        <w:tc>
          <w:tcPr>
            <w:tcW w:w="1295" w:type="dxa"/>
            <w:vAlign w:val="center"/>
          </w:tcPr>
          <w:p w14:paraId="7F0A60B1" w14:textId="313E527F"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4128.393</w:t>
            </w:r>
          </w:p>
        </w:tc>
      </w:tr>
      <w:tr w:rsidR="00411C81" w:rsidRPr="00411C81" w14:paraId="1E2EB460"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5F370B18" w14:textId="4F5286ED" w:rsidR="00411C81" w:rsidRPr="00411C81" w:rsidRDefault="00724494" w:rsidP="00411C81">
            <w:pPr>
              <w:spacing w:line="240" w:lineRule="auto"/>
              <w:rPr>
                <w:sz w:val="20"/>
              </w:rPr>
            </w:pPr>
            <w:r>
              <w:rPr>
                <w:sz w:val="20"/>
              </w:rPr>
              <w:t>Energy</w:t>
            </w:r>
          </w:p>
        </w:tc>
        <w:tc>
          <w:tcPr>
            <w:tcW w:w="990" w:type="dxa"/>
            <w:vAlign w:val="center"/>
          </w:tcPr>
          <w:p w14:paraId="5DB1772D" w14:textId="77777777"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1806</w:t>
            </w:r>
          </w:p>
        </w:tc>
        <w:tc>
          <w:tcPr>
            <w:tcW w:w="1314" w:type="dxa"/>
            <w:vAlign w:val="center"/>
          </w:tcPr>
          <w:p w14:paraId="7C35E2EB" w14:textId="1E4430AE"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292.494</w:t>
            </w:r>
          </w:p>
        </w:tc>
        <w:tc>
          <w:tcPr>
            <w:tcW w:w="1386" w:type="dxa"/>
            <w:vAlign w:val="center"/>
          </w:tcPr>
          <w:p w14:paraId="3A4F4EF4" w14:textId="6CA73330"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207.114</w:t>
            </w:r>
          </w:p>
        </w:tc>
        <w:tc>
          <w:tcPr>
            <w:tcW w:w="1315" w:type="dxa"/>
            <w:vAlign w:val="center"/>
          </w:tcPr>
          <w:p w14:paraId="0F94AA9B" w14:textId="6FA57203"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-40.951</w:t>
            </w:r>
          </w:p>
        </w:tc>
        <w:tc>
          <w:tcPr>
            <w:tcW w:w="1295" w:type="dxa"/>
            <w:vAlign w:val="center"/>
          </w:tcPr>
          <w:p w14:paraId="5561A61E" w14:textId="0C2101EF"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1242.602</w:t>
            </w:r>
          </w:p>
        </w:tc>
      </w:tr>
      <w:tr w:rsidR="00411C81" w:rsidRPr="00411C81" w14:paraId="377E9954"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0CA9ACD" w14:textId="56839C4B" w:rsidR="00411C81" w:rsidRPr="00411C81" w:rsidRDefault="00724494" w:rsidP="00411C81">
            <w:pPr>
              <w:spacing w:line="240" w:lineRule="auto"/>
              <w:rPr>
                <w:sz w:val="20"/>
              </w:rPr>
            </w:pPr>
            <w:r>
              <w:rPr>
                <w:sz w:val="20"/>
              </w:rPr>
              <w:t>Utilities</w:t>
            </w:r>
          </w:p>
        </w:tc>
        <w:tc>
          <w:tcPr>
            <w:tcW w:w="990" w:type="dxa"/>
            <w:vAlign w:val="center"/>
          </w:tcPr>
          <w:p w14:paraId="77A1485E" w14:textId="77777777"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2815</w:t>
            </w:r>
          </w:p>
        </w:tc>
        <w:tc>
          <w:tcPr>
            <w:tcW w:w="1314" w:type="dxa"/>
            <w:vAlign w:val="center"/>
          </w:tcPr>
          <w:p w14:paraId="01622A33" w14:textId="5B8CF51F"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251.569</w:t>
            </w:r>
          </w:p>
        </w:tc>
        <w:tc>
          <w:tcPr>
            <w:tcW w:w="1386" w:type="dxa"/>
            <w:vAlign w:val="center"/>
          </w:tcPr>
          <w:p w14:paraId="2DF9A2B2" w14:textId="389ED794"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168.962</w:t>
            </w:r>
          </w:p>
        </w:tc>
        <w:tc>
          <w:tcPr>
            <w:tcW w:w="1315" w:type="dxa"/>
            <w:vAlign w:val="center"/>
          </w:tcPr>
          <w:p w14:paraId="5CE35B08" w14:textId="6953EF76"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-189.937</w:t>
            </w:r>
          </w:p>
        </w:tc>
        <w:tc>
          <w:tcPr>
            <w:tcW w:w="1295" w:type="dxa"/>
            <w:vAlign w:val="center"/>
          </w:tcPr>
          <w:p w14:paraId="19283B7B" w14:textId="5DEB9A30"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828.513</w:t>
            </w:r>
          </w:p>
        </w:tc>
      </w:tr>
      <w:tr w:rsidR="00411C81" w:rsidRPr="00411C81" w14:paraId="114A5D64"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ECCF579" w14:textId="01827741" w:rsidR="00411C81" w:rsidRPr="00411C81" w:rsidRDefault="00724494" w:rsidP="00411C81">
            <w:pPr>
              <w:spacing w:line="240" w:lineRule="auto"/>
              <w:rPr>
                <w:sz w:val="20"/>
              </w:rPr>
            </w:pPr>
            <w:r>
              <w:rPr>
                <w:sz w:val="20"/>
              </w:rPr>
              <w:t>Communications &amp; Technology</w:t>
            </w:r>
          </w:p>
        </w:tc>
        <w:tc>
          <w:tcPr>
            <w:tcW w:w="990" w:type="dxa"/>
            <w:vAlign w:val="center"/>
          </w:tcPr>
          <w:p w14:paraId="67F1E125" w14:textId="77777777"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3068</w:t>
            </w:r>
          </w:p>
        </w:tc>
        <w:tc>
          <w:tcPr>
            <w:tcW w:w="1314" w:type="dxa"/>
            <w:vAlign w:val="center"/>
          </w:tcPr>
          <w:p w14:paraId="45573F81" w14:textId="2410867B"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236.429</w:t>
            </w:r>
          </w:p>
        </w:tc>
        <w:tc>
          <w:tcPr>
            <w:tcW w:w="1386" w:type="dxa"/>
            <w:vAlign w:val="center"/>
          </w:tcPr>
          <w:p w14:paraId="3F2C0364" w14:textId="491AAB5B"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180.682</w:t>
            </w:r>
          </w:p>
        </w:tc>
        <w:tc>
          <w:tcPr>
            <w:tcW w:w="1315" w:type="dxa"/>
            <w:vAlign w:val="center"/>
          </w:tcPr>
          <w:p w14:paraId="168AF0C4" w14:textId="456EADFF"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-138.898</w:t>
            </w:r>
          </w:p>
        </w:tc>
        <w:tc>
          <w:tcPr>
            <w:tcW w:w="1295" w:type="dxa"/>
            <w:vAlign w:val="center"/>
          </w:tcPr>
          <w:p w14:paraId="6B435615" w14:textId="797578AA"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411C81">
              <w:rPr>
                <w:sz w:val="20"/>
              </w:rPr>
              <w:t>1141.767</w:t>
            </w:r>
          </w:p>
        </w:tc>
      </w:tr>
      <w:tr w:rsidR="00411C81" w:rsidRPr="00411C81" w14:paraId="087611DA" w14:textId="77777777" w:rsidTr="00411C81">
        <w:trPr>
          <w:trHeight w:val="3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6CED7F3F" w14:textId="1210F6FB" w:rsidR="00411C81" w:rsidRPr="00411C81" w:rsidRDefault="00724494" w:rsidP="00411C81">
            <w:pPr>
              <w:spacing w:line="240" w:lineRule="auto"/>
              <w:rPr>
                <w:sz w:val="20"/>
                <w:lang w:val="de-DE"/>
              </w:rPr>
            </w:pPr>
            <w:r>
              <w:rPr>
                <w:sz w:val="20"/>
              </w:rPr>
              <w:t>Diversified</w:t>
            </w:r>
          </w:p>
        </w:tc>
        <w:tc>
          <w:tcPr>
            <w:tcW w:w="990" w:type="dxa"/>
            <w:vAlign w:val="center"/>
          </w:tcPr>
          <w:p w14:paraId="6E377D62" w14:textId="2AA3006E" w:rsidR="00411C81" w:rsidRPr="00411C81" w:rsidRDefault="00411C81"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lang w:val="de-DE"/>
              </w:rPr>
            </w:pPr>
            <w:r w:rsidRPr="00411C81">
              <w:rPr>
                <w:sz w:val="20"/>
                <w:lang w:val="de-DE"/>
              </w:rPr>
              <w:t>252</w:t>
            </w:r>
          </w:p>
        </w:tc>
        <w:tc>
          <w:tcPr>
            <w:tcW w:w="1314" w:type="dxa"/>
            <w:vAlign w:val="center"/>
          </w:tcPr>
          <w:p w14:paraId="61D20F36" w14:textId="75F924F5"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lang w:val="de-DE"/>
              </w:rPr>
            </w:pPr>
            <w:r>
              <w:rPr>
                <w:sz w:val="20"/>
                <w:lang w:val="de-DE"/>
              </w:rPr>
              <w:t>253.115</w:t>
            </w:r>
          </w:p>
        </w:tc>
        <w:tc>
          <w:tcPr>
            <w:tcW w:w="1386" w:type="dxa"/>
            <w:vAlign w:val="center"/>
          </w:tcPr>
          <w:p w14:paraId="529E7923" w14:textId="0D967608"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lang w:val="de-DE"/>
              </w:rPr>
            </w:pPr>
            <w:r>
              <w:rPr>
                <w:sz w:val="20"/>
                <w:lang w:val="de-DE"/>
              </w:rPr>
              <w:t>139.812</w:t>
            </w:r>
          </w:p>
        </w:tc>
        <w:tc>
          <w:tcPr>
            <w:tcW w:w="1315" w:type="dxa"/>
            <w:vAlign w:val="center"/>
          </w:tcPr>
          <w:p w14:paraId="249A0A7C" w14:textId="5E82554B"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lang w:val="de-DE"/>
              </w:rPr>
            </w:pPr>
            <w:r>
              <w:rPr>
                <w:sz w:val="20"/>
                <w:lang w:val="de-DE"/>
              </w:rPr>
              <w:t>-14.487</w:t>
            </w:r>
          </w:p>
        </w:tc>
        <w:tc>
          <w:tcPr>
            <w:tcW w:w="1295" w:type="dxa"/>
            <w:vAlign w:val="center"/>
          </w:tcPr>
          <w:p w14:paraId="4490F78F" w14:textId="03FC4CF0" w:rsidR="00411C81" w:rsidRPr="00411C81" w:rsidRDefault="00695E92" w:rsidP="00411C81">
            <w:pPr>
              <w:spacing w:line="240" w:lineRule="auto"/>
              <w:jc w:val="center"/>
              <w:cnfStyle w:val="000000000000" w:firstRow="0" w:lastRow="0" w:firstColumn="0" w:lastColumn="0" w:oddVBand="0" w:evenVBand="0" w:oddHBand="0" w:evenHBand="0" w:firstRowFirstColumn="0" w:firstRowLastColumn="0" w:lastRowFirstColumn="0" w:lastRowLastColumn="0"/>
              <w:rPr>
                <w:sz w:val="20"/>
                <w:lang w:val="de-DE"/>
              </w:rPr>
            </w:pPr>
            <w:r>
              <w:rPr>
                <w:sz w:val="20"/>
                <w:lang w:val="de-DE"/>
              </w:rPr>
              <w:t>523.799</w:t>
            </w:r>
          </w:p>
        </w:tc>
      </w:tr>
    </w:tbl>
    <w:p w14:paraId="648D7D56" w14:textId="1D31625A" w:rsidR="00A84EC3" w:rsidRDefault="00A84EC3" w:rsidP="00D520A3"/>
    <w:p w14:paraId="729D8A83" w14:textId="77777777" w:rsidR="00427451" w:rsidRDefault="00427451">
      <w:pPr>
        <w:spacing w:line="240" w:lineRule="auto"/>
      </w:pPr>
    </w:p>
    <w:p w14:paraId="20D7AA3E" w14:textId="77777777" w:rsidR="00427451" w:rsidRDefault="00427451">
      <w:pPr>
        <w:spacing w:line="240" w:lineRule="auto"/>
        <w:sectPr w:rsidR="00427451" w:rsidSect="002D431B">
          <w:headerReference w:type="default" r:id="rId9"/>
          <w:footerReference w:type="default" r:id="rId10"/>
          <w:pgSz w:w="12240" w:h="15840"/>
          <w:pgMar w:top="1701" w:right="1701" w:bottom="1560" w:left="1701" w:header="708" w:footer="807" w:gutter="0"/>
          <w:cols w:space="708"/>
          <w:docGrid w:linePitch="360"/>
        </w:sectPr>
      </w:pPr>
    </w:p>
    <w:p w14:paraId="4E7943F8" w14:textId="748FB5DD" w:rsidR="000B7A97" w:rsidRDefault="00A84EC3" w:rsidP="00427451">
      <w:pPr>
        <w:jc w:val="center"/>
      </w:pPr>
      <w:proofErr w:type="gramStart"/>
      <w:r>
        <w:lastRenderedPageBreak/>
        <w:t>Table 2.</w:t>
      </w:r>
      <w:proofErr w:type="gramEnd"/>
      <w:r>
        <w:t xml:space="preserve"> Determinants of benchmark spread</w:t>
      </w:r>
    </w:p>
    <w:p w14:paraId="7BB7111F" w14:textId="184B67CF" w:rsidR="00427451" w:rsidRPr="00427451" w:rsidRDefault="00427451" w:rsidP="00427451">
      <w:pPr>
        <w:rPr>
          <w:sz w:val="20"/>
        </w:rPr>
      </w:pPr>
      <w:r>
        <w:rPr>
          <w:sz w:val="20"/>
        </w:rPr>
        <w:t xml:space="preserve">Dependent variable is the Benchmark Spread (in </w:t>
      </w:r>
      <w:proofErr w:type="spellStart"/>
      <w:r>
        <w:rPr>
          <w:sz w:val="20"/>
        </w:rPr>
        <w:t>bp</w:t>
      </w:r>
      <w:proofErr w:type="spellEnd"/>
      <w:r>
        <w:rPr>
          <w:sz w:val="20"/>
        </w:rPr>
        <w:t xml:space="preserve">). The first five columns are the results of the regressions </w:t>
      </w:r>
      <w:r w:rsidR="00F86A9E">
        <w:rPr>
          <w:sz w:val="20"/>
        </w:rPr>
        <w:t>for: 1) firm specific factors, 2) firm and bond specific characteristics, 3) firm and bond specific characteristics plus country particular macroeconomic and risk features, and 5) all described characteristics plus a global factor. The last five columns yield the results of the same first five regressions, but including country and industry dummies, not reported.</w:t>
      </w:r>
    </w:p>
    <w:tbl>
      <w:tblPr>
        <w:tblStyle w:val="Sombreadoclaro"/>
        <w:tblW w:w="13338" w:type="dxa"/>
        <w:tblLayout w:type="fixed"/>
        <w:tblLook w:val="06A0" w:firstRow="1" w:lastRow="0" w:firstColumn="1" w:lastColumn="0" w:noHBand="1" w:noVBand="1"/>
      </w:tblPr>
      <w:tblGrid>
        <w:gridCol w:w="1998"/>
        <w:gridCol w:w="1094"/>
        <w:gridCol w:w="1094"/>
        <w:gridCol w:w="1094"/>
        <w:gridCol w:w="1218"/>
        <w:gridCol w:w="1170"/>
        <w:gridCol w:w="1094"/>
        <w:gridCol w:w="1094"/>
        <w:gridCol w:w="1094"/>
        <w:gridCol w:w="1218"/>
        <w:gridCol w:w="1170"/>
      </w:tblGrid>
      <w:tr w:rsidR="00427451" w:rsidRPr="009A26E5" w14:paraId="6014C08C" w14:textId="77777777" w:rsidTr="00F86A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B288BE0" w14:textId="77777777" w:rsidR="00427451" w:rsidRPr="009A26E5" w:rsidRDefault="00427451" w:rsidP="00F86A9E">
            <w:pPr>
              <w:spacing w:line="240" w:lineRule="auto"/>
              <w:jc w:val="left"/>
              <w:rPr>
                <w:sz w:val="18"/>
                <w:szCs w:val="20"/>
              </w:rPr>
            </w:pPr>
            <w:r w:rsidRPr="009A26E5">
              <w:rPr>
                <w:sz w:val="18"/>
                <w:szCs w:val="20"/>
              </w:rPr>
              <w:t>Variable</w:t>
            </w:r>
          </w:p>
        </w:tc>
        <w:tc>
          <w:tcPr>
            <w:tcW w:w="1094" w:type="dxa"/>
            <w:vAlign w:val="center"/>
          </w:tcPr>
          <w:p w14:paraId="0D8B0FC2" w14:textId="59DDBCF6"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SPF(1)</w:t>
            </w:r>
          </w:p>
        </w:tc>
        <w:tc>
          <w:tcPr>
            <w:tcW w:w="1094" w:type="dxa"/>
            <w:vAlign w:val="center"/>
          </w:tcPr>
          <w:p w14:paraId="2AE830DD" w14:textId="2AA6FF76"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SPF(2)</w:t>
            </w:r>
          </w:p>
        </w:tc>
        <w:tc>
          <w:tcPr>
            <w:tcW w:w="1094" w:type="dxa"/>
            <w:vAlign w:val="center"/>
          </w:tcPr>
          <w:p w14:paraId="28A74848" w14:textId="502E0375"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(3)</w:t>
            </w:r>
          </w:p>
        </w:tc>
        <w:tc>
          <w:tcPr>
            <w:tcW w:w="1218" w:type="dxa"/>
            <w:vAlign w:val="center"/>
          </w:tcPr>
          <w:p w14:paraId="348CBC43" w14:textId="63A32064"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(4)</w:t>
            </w:r>
          </w:p>
        </w:tc>
        <w:tc>
          <w:tcPr>
            <w:tcW w:w="1170" w:type="dxa"/>
            <w:vAlign w:val="center"/>
          </w:tcPr>
          <w:p w14:paraId="161F2278" w14:textId="041E83F5"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(5)</w:t>
            </w:r>
          </w:p>
        </w:tc>
        <w:tc>
          <w:tcPr>
            <w:tcW w:w="1094" w:type="dxa"/>
            <w:vAlign w:val="center"/>
          </w:tcPr>
          <w:p w14:paraId="437A1E0D" w14:textId="21B90980"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(1.1)</w:t>
            </w:r>
          </w:p>
        </w:tc>
        <w:tc>
          <w:tcPr>
            <w:tcW w:w="1094" w:type="dxa"/>
            <w:vAlign w:val="center"/>
          </w:tcPr>
          <w:p w14:paraId="3EDFA500" w14:textId="52AE2F84"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(2.1)</w:t>
            </w:r>
          </w:p>
        </w:tc>
        <w:tc>
          <w:tcPr>
            <w:tcW w:w="1094" w:type="dxa"/>
            <w:vAlign w:val="center"/>
          </w:tcPr>
          <w:p w14:paraId="24C9C765" w14:textId="7F61C7BF"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(3.1)</w:t>
            </w:r>
          </w:p>
        </w:tc>
        <w:tc>
          <w:tcPr>
            <w:tcW w:w="1218" w:type="dxa"/>
            <w:vAlign w:val="center"/>
          </w:tcPr>
          <w:p w14:paraId="6BF331B9" w14:textId="6538E0B2"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(4.1)</w:t>
            </w:r>
          </w:p>
        </w:tc>
        <w:tc>
          <w:tcPr>
            <w:tcW w:w="1170" w:type="dxa"/>
            <w:vAlign w:val="center"/>
          </w:tcPr>
          <w:p w14:paraId="6BC783B6" w14:textId="521105AC" w:rsidR="00427451" w:rsidRPr="009A26E5" w:rsidRDefault="00427451" w:rsidP="00F86A9E">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SPF</w:t>
            </w:r>
            <w:r>
              <w:rPr>
                <w:sz w:val="18"/>
                <w:szCs w:val="20"/>
              </w:rPr>
              <w:t>(5.1)</w:t>
            </w:r>
          </w:p>
        </w:tc>
      </w:tr>
      <w:tr w:rsidR="00427451" w:rsidRPr="009A26E5" w14:paraId="6BA7AA5D"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72B9633" w14:textId="77777777" w:rsidR="00427451" w:rsidRPr="009A26E5" w:rsidRDefault="00427451" w:rsidP="00F86A9E">
            <w:pPr>
              <w:spacing w:line="240" w:lineRule="auto"/>
              <w:jc w:val="left"/>
              <w:rPr>
                <w:sz w:val="18"/>
                <w:szCs w:val="20"/>
              </w:rPr>
            </w:pPr>
            <w:r w:rsidRPr="009A26E5">
              <w:rPr>
                <w:sz w:val="18"/>
                <w:szCs w:val="20"/>
              </w:rPr>
              <w:t>Return on assets</w:t>
            </w:r>
          </w:p>
        </w:tc>
        <w:tc>
          <w:tcPr>
            <w:tcW w:w="1094" w:type="dxa"/>
            <w:vAlign w:val="center"/>
          </w:tcPr>
          <w:p w14:paraId="7E2DE61C" w14:textId="72137EBC"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0.259</w:t>
            </w:r>
          </w:p>
        </w:tc>
        <w:tc>
          <w:tcPr>
            <w:tcW w:w="1094" w:type="dxa"/>
            <w:vAlign w:val="center"/>
          </w:tcPr>
          <w:p w14:paraId="41E1BA3B"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0.502</w:t>
            </w:r>
          </w:p>
        </w:tc>
        <w:tc>
          <w:tcPr>
            <w:tcW w:w="1094" w:type="dxa"/>
            <w:vAlign w:val="center"/>
          </w:tcPr>
          <w:p w14:paraId="0BB23F3B"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0.873</w:t>
            </w:r>
          </w:p>
        </w:tc>
        <w:tc>
          <w:tcPr>
            <w:tcW w:w="1218" w:type="dxa"/>
            <w:vAlign w:val="center"/>
          </w:tcPr>
          <w:p w14:paraId="50306D16"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0.699</w:t>
            </w:r>
          </w:p>
        </w:tc>
        <w:tc>
          <w:tcPr>
            <w:tcW w:w="1170" w:type="dxa"/>
            <w:vAlign w:val="center"/>
          </w:tcPr>
          <w:p w14:paraId="6CD5B6BD"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0.715</w:t>
            </w:r>
          </w:p>
        </w:tc>
        <w:tc>
          <w:tcPr>
            <w:tcW w:w="1094" w:type="dxa"/>
            <w:vAlign w:val="center"/>
          </w:tcPr>
          <w:p w14:paraId="5DD05104"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0.244</w:t>
            </w:r>
          </w:p>
        </w:tc>
        <w:tc>
          <w:tcPr>
            <w:tcW w:w="1094" w:type="dxa"/>
            <w:vAlign w:val="center"/>
          </w:tcPr>
          <w:p w14:paraId="1BC0F6EC"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0.494</w:t>
            </w:r>
          </w:p>
        </w:tc>
        <w:tc>
          <w:tcPr>
            <w:tcW w:w="1094" w:type="dxa"/>
            <w:vAlign w:val="center"/>
          </w:tcPr>
          <w:p w14:paraId="54CD87DC"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0.872</w:t>
            </w:r>
          </w:p>
        </w:tc>
        <w:tc>
          <w:tcPr>
            <w:tcW w:w="1218" w:type="dxa"/>
            <w:vAlign w:val="center"/>
          </w:tcPr>
          <w:p w14:paraId="6BE1F1BD" w14:textId="70F1D7AC"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0.528</w:t>
            </w:r>
          </w:p>
        </w:tc>
        <w:tc>
          <w:tcPr>
            <w:tcW w:w="1170" w:type="dxa"/>
            <w:vAlign w:val="center"/>
          </w:tcPr>
          <w:p w14:paraId="5603D24D"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0.545</w:t>
            </w:r>
          </w:p>
        </w:tc>
      </w:tr>
      <w:tr w:rsidR="00427451" w:rsidRPr="009A26E5" w14:paraId="09D36019"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A3F9C30" w14:textId="77777777" w:rsidR="00427451" w:rsidRPr="009A26E5" w:rsidRDefault="00427451" w:rsidP="00F86A9E">
            <w:pPr>
              <w:jc w:val="left"/>
              <w:rPr>
                <w:sz w:val="18"/>
                <w:szCs w:val="20"/>
              </w:rPr>
            </w:pPr>
            <w:r>
              <w:rPr>
                <w:sz w:val="18"/>
                <w:szCs w:val="20"/>
              </w:rPr>
              <w:t>Total debt/T</w:t>
            </w:r>
            <w:r w:rsidRPr="009A26E5">
              <w:rPr>
                <w:sz w:val="18"/>
                <w:szCs w:val="20"/>
              </w:rPr>
              <w:t>otal as</w:t>
            </w:r>
            <w:r>
              <w:rPr>
                <w:sz w:val="18"/>
                <w:szCs w:val="20"/>
              </w:rPr>
              <w:t>set</w:t>
            </w:r>
            <w:r w:rsidRPr="009A26E5">
              <w:rPr>
                <w:sz w:val="18"/>
                <w:szCs w:val="20"/>
              </w:rPr>
              <w:t>s</w:t>
            </w:r>
          </w:p>
        </w:tc>
        <w:tc>
          <w:tcPr>
            <w:tcW w:w="1094" w:type="dxa"/>
            <w:vAlign w:val="center"/>
          </w:tcPr>
          <w:p w14:paraId="15578E38" w14:textId="08EBD88D"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0.616***</w:t>
            </w:r>
          </w:p>
        </w:tc>
        <w:tc>
          <w:tcPr>
            <w:tcW w:w="1094" w:type="dxa"/>
            <w:vAlign w:val="center"/>
          </w:tcPr>
          <w:p w14:paraId="5AF7B756" w14:textId="5ADF3E76"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0.203</w:t>
            </w:r>
          </w:p>
        </w:tc>
        <w:tc>
          <w:tcPr>
            <w:tcW w:w="1094" w:type="dxa"/>
            <w:vAlign w:val="center"/>
          </w:tcPr>
          <w:p w14:paraId="6C413289"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0.220</w:t>
            </w:r>
          </w:p>
        </w:tc>
        <w:tc>
          <w:tcPr>
            <w:tcW w:w="1218" w:type="dxa"/>
            <w:vAlign w:val="center"/>
          </w:tcPr>
          <w:p w14:paraId="1C3C98E0" w14:textId="416C1945"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-0.412</w:t>
            </w:r>
          </w:p>
        </w:tc>
        <w:tc>
          <w:tcPr>
            <w:tcW w:w="1170" w:type="dxa"/>
            <w:vAlign w:val="center"/>
          </w:tcPr>
          <w:p w14:paraId="5BC17A74" w14:textId="6B125530"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-0.408</w:t>
            </w:r>
          </w:p>
        </w:tc>
        <w:tc>
          <w:tcPr>
            <w:tcW w:w="1094" w:type="dxa"/>
            <w:vAlign w:val="center"/>
          </w:tcPr>
          <w:p w14:paraId="28838D02"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0.614***</w:t>
            </w:r>
          </w:p>
        </w:tc>
        <w:tc>
          <w:tcPr>
            <w:tcW w:w="1094" w:type="dxa"/>
            <w:vAlign w:val="center"/>
          </w:tcPr>
          <w:p w14:paraId="59C54989" w14:textId="395B0C92"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0.206</w:t>
            </w:r>
          </w:p>
        </w:tc>
        <w:tc>
          <w:tcPr>
            <w:tcW w:w="1094" w:type="dxa"/>
            <w:vAlign w:val="center"/>
          </w:tcPr>
          <w:p w14:paraId="00A2F560"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0.224</w:t>
            </w:r>
          </w:p>
        </w:tc>
        <w:tc>
          <w:tcPr>
            <w:tcW w:w="1218" w:type="dxa"/>
            <w:vAlign w:val="center"/>
          </w:tcPr>
          <w:p w14:paraId="06AC06DF"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-0.504*</w:t>
            </w:r>
          </w:p>
        </w:tc>
        <w:tc>
          <w:tcPr>
            <w:tcW w:w="1170" w:type="dxa"/>
            <w:vAlign w:val="center"/>
          </w:tcPr>
          <w:p w14:paraId="109045D3"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-0.499*</w:t>
            </w:r>
          </w:p>
        </w:tc>
      </w:tr>
      <w:tr w:rsidR="00427451" w:rsidRPr="009A26E5" w14:paraId="78C4C200"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D1A4FE7" w14:textId="77777777" w:rsidR="00427451" w:rsidRPr="009A26E5" w:rsidRDefault="00427451" w:rsidP="00F86A9E">
            <w:pPr>
              <w:jc w:val="left"/>
              <w:rPr>
                <w:sz w:val="18"/>
                <w:szCs w:val="20"/>
              </w:rPr>
            </w:pPr>
            <w:r>
              <w:rPr>
                <w:sz w:val="18"/>
                <w:szCs w:val="20"/>
              </w:rPr>
              <w:t xml:space="preserve">Net margin 5y </w:t>
            </w:r>
            <w:r w:rsidRPr="009A26E5">
              <w:rPr>
                <w:sz w:val="18"/>
                <w:szCs w:val="20"/>
              </w:rPr>
              <w:t xml:space="preserve"> gr</w:t>
            </w:r>
            <w:r>
              <w:rPr>
                <w:sz w:val="18"/>
                <w:szCs w:val="20"/>
              </w:rPr>
              <w:t>owt</w:t>
            </w:r>
            <w:r w:rsidRPr="009A26E5">
              <w:rPr>
                <w:sz w:val="18"/>
                <w:szCs w:val="20"/>
              </w:rPr>
              <w:t>h</w:t>
            </w:r>
          </w:p>
        </w:tc>
        <w:tc>
          <w:tcPr>
            <w:tcW w:w="1094" w:type="dxa"/>
            <w:vAlign w:val="center"/>
          </w:tcPr>
          <w:p w14:paraId="4577FE36"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-0.122***</w:t>
            </w:r>
          </w:p>
        </w:tc>
        <w:tc>
          <w:tcPr>
            <w:tcW w:w="1094" w:type="dxa"/>
            <w:vAlign w:val="center"/>
          </w:tcPr>
          <w:p w14:paraId="27604309"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-0.249**</w:t>
            </w:r>
          </w:p>
        </w:tc>
        <w:tc>
          <w:tcPr>
            <w:tcW w:w="1094" w:type="dxa"/>
            <w:vAlign w:val="center"/>
          </w:tcPr>
          <w:p w14:paraId="32F8713C" w14:textId="74FE19B9"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-0.356**</w:t>
            </w:r>
          </w:p>
        </w:tc>
        <w:tc>
          <w:tcPr>
            <w:tcW w:w="1218" w:type="dxa"/>
            <w:vAlign w:val="center"/>
          </w:tcPr>
          <w:p w14:paraId="001CD0C9" w14:textId="532DC27F"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-0.156*</w:t>
            </w:r>
          </w:p>
        </w:tc>
        <w:tc>
          <w:tcPr>
            <w:tcW w:w="1170" w:type="dxa"/>
            <w:vAlign w:val="center"/>
          </w:tcPr>
          <w:p w14:paraId="6C825528"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-0.158*</w:t>
            </w:r>
          </w:p>
        </w:tc>
        <w:tc>
          <w:tcPr>
            <w:tcW w:w="1094" w:type="dxa"/>
            <w:vAlign w:val="center"/>
          </w:tcPr>
          <w:p w14:paraId="5F09CAD4"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-0.121***</w:t>
            </w:r>
          </w:p>
        </w:tc>
        <w:tc>
          <w:tcPr>
            <w:tcW w:w="1094" w:type="dxa"/>
            <w:vAlign w:val="center"/>
          </w:tcPr>
          <w:p w14:paraId="15B71371"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-0.249**</w:t>
            </w:r>
          </w:p>
        </w:tc>
        <w:tc>
          <w:tcPr>
            <w:tcW w:w="1094" w:type="dxa"/>
            <w:vAlign w:val="center"/>
          </w:tcPr>
          <w:p w14:paraId="2B718329" w14:textId="1D8B5862"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-0.355**</w:t>
            </w:r>
          </w:p>
        </w:tc>
        <w:tc>
          <w:tcPr>
            <w:tcW w:w="1218" w:type="dxa"/>
            <w:vAlign w:val="center"/>
          </w:tcPr>
          <w:p w14:paraId="3CC17CB5"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-0.145</w:t>
            </w:r>
          </w:p>
        </w:tc>
        <w:tc>
          <w:tcPr>
            <w:tcW w:w="1170" w:type="dxa"/>
            <w:vAlign w:val="center"/>
          </w:tcPr>
          <w:p w14:paraId="65DA0A29" w14:textId="05CA5DB4"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-0.148*</w:t>
            </w:r>
          </w:p>
        </w:tc>
      </w:tr>
      <w:tr w:rsidR="00427451" w:rsidRPr="009A26E5" w14:paraId="1F853A6D"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F53648D" w14:textId="77777777" w:rsidR="00427451" w:rsidRPr="009A26E5" w:rsidRDefault="00427451" w:rsidP="00F86A9E">
            <w:pPr>
              <w:spacing w:line="240" w:lineRule="auto"/>
              <w:jc w:val="left"/>
              <w:rPr>
                <w:sz w:val="18"/>
                <w:szCs w:val="20"/>
              </w:rPr>
            </w:pPr>
            <w:r w:rsidRPr="009A26E5">
              <w:rPr>
                <w:sz w:val="18"/>
                <w:szCs w:val="20"/>
              </w:rPr>
              <w:t>Price volatility</w:t>
            </w:r>
          </w:p>
        </w:tc>
        <w:tc>
          <w:tcPr>
            <w:tcW w:w="1094" w:type="dxa"/>
            <w:vAlign w:val="center"/>
          </w:tcPr>
          <w:p w14:paraId="2D4533F0"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-0.681**</w:t>
            </w:r>
          </w:p>
        </w:tc>
        <w:tc>
          <w:tcPr>
            <w:tcW w:w="1094" w:type="dxa"/>
            <w:vAlign w:val="center"/>
          </w:tcPr>
          <w:p w14:paraId="52E6594D"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0.364</w:t>
            </w:r>
          </w:p>
        </w:tc>
        <w:tc>
          <w:tcPr>
            <w:tcW w:w="1094" w:type="dxa"/>
            <w:vAlign w:val="center"/>
          </w:tcPr>
          <w:p w14:paraId="69FCB404"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0.212</w:t>
            </w:r>
          </w:p>
        </w:tc>
        <w:tc>
          <w:tcPr>
            <w:tcW w:w="1218" w:type="dxa"/>
            <w:vAlign w:val="center"/>
          </w:tcPr>
          <w:p w14:paraId="1E92DD83" w14:textId="3F797B69"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-0.317</w:t>
            </w:r>
          </w:p>
        </w:tc>
        <w:tc>
          <w:tcPr>
            <w:tcW w:w="1170" w:type="dxa"/>
            <w:vAlign w:val="center"/>
          </w:tcPr>
          <w:p w14:paraId="0348BF30" w14:textId="32804DC0"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-0.328</w:t>
            </w:r>
          </w:p>
        </w:tc>
        <w:tc>
          <w:tcPr>
            <w:tcW w:w="1094" w:type="dxa"/>
            <w:vAlign w:val="center"/>
          </w:tcPr>
          <w:p w14:paraId="18DB4AB0" w14:textId="7F339A16"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-0.677**</w:t>
            </w:r>
          </w:p>
        </w:tc>
        <w:tc>
          <w:tcPr>
            <w:tcW w:w="1094" w:type="dxa"/>
            <w:vAlign w:val="center"/>
          </w:tcPr>
          <w:p w14:paraId="2FCD08E6"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0.367</w:t>
            </w:r>
          </w:p>
        </w:tc>
        <w:tc>
          <w:tcPr>
            <w:tcW w:w="1094" w:type="dxa"/>
            <w:vAlign w:val="center"/>
          </w:tcPr>
          <w:p w14:paraId="67DB2A8E"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0.212</w:t>
            </w:r>
          </w:p>
        </w:tc>
        <w:tc>
          <w:tcPr>
            <w:tcW w:w="1218" w:type="dxa"/>
            <w:vAlign w:val="center"/>
          </w:tcPr>
          <w:p w14:paraId="5DFC82F8" w14:textId="79AB27F0"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0.140</w:t>
            </w:r>
          </w:p>
        </w:tc>
        <w:tc>
          <w:tcPr>
            <w:tcW w:w="1170" w:type="dxa"/>
            <w:vAlign w:val="center"/>
          </w:tcPr>
          <w:p w14:paraId="3B3947D3"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0.125</w:t>
            </w:r>
          </w:p>
        </w:tc>
      </w:tr>
      <w:tr w:rsidR="00427451" w:rsidRPr="009A26E5" w14:paraId="7C42F3E0"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51F3A18" w14:textId="77777777" w:rsidR="00427451" w:rsidRPr="009A26E5" w:rsidRDefault="00427451" w:rsidP="00F86A9E">
            <w:pPr>
              <w:spacing w:line="240" w:lineRule="auto"/>
              <w:jc w:val="left"/>
              <w:rPr>
                <w:sz w:val="18"/>
                <w:szCs w:val="20"/>
              </w:rPr>
            </w:pPr>
            <w:r w:rsidRPr="009A26E5">
              <w:rPr>
                <w:sz w:val="18"/>
                <w:szCs w:val="20"/>
              </w:rPr>
              <w:t xml:space="preserve">Log </w:t>
            </w:r>
            <w:r>
              <w:rPr>
                <w:sz w:val="18"/>
                <w:szCs w:val="20"/>
              </w:rPr>
              <w:t>(Market Cap.)</w:t>
            </w:r>
          </w:p>
        </w:tc>
        <w:tc>
          <w:tcPr>
            <w:tcW w:w="1094" w:type="dxa"/>
            <w:vAlign w:val="center"/>
          </w:tcPr>
          <w:p w14:paraId="2A048409" w14:textId="36281C3F"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8.523***</w:t>
            </w:r>
          </w:p>
        </w:tc>
        <w:tc>
          <w:tcPr>
            <w:tcW w:w="1094" w:type="dxa"/>
            <w:vAlign w:val="center"/>
          </w:tcPr>
          <w:p w14:paraId="0A4A1488"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12.563***</w:t>
            </w:r>
          </w:p>
        </w:tc>
        <w:tc>
          <w:tcPr>
            <w:tcW w:w="1094" w:type="dxa"/>
            <w:vAlign w:val="center"/>
          </w:tcPr>
          <w:p w14:paraId="57024EEA"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15.018**</w:t>
            </w:r>
          </w:p>
        </w:tc>
        <w:tc>
          <w:tcPr>
            <w:tcW w:w="1218" w:type="dxa"/>
            <w:vAlign w:val="center"/>
          </w:tcPr>
          <w:p w14:paraId="0E9A58FA"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-14.437***</w:t>
            </w:r>
          </w:p>
        </w:tc>
        <w:tc>
          <w:tcPr>
            <w:tcW w:w="1170" w:type="dxa"/>
            <w:vAlign w:val="center"/>
          </w:tcPr>
          <w:p w14:paraId="52542CDC" w14:textId="3BD072AE"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-14.499***</w:t>
            </w:r>
          </w:p>
        </w:tc>
        <w:tc>
          <w:tcPr>
            <w:tcW w:w="1094" w:type="dxa"/>
            <w:vAlign w:val="center"/>
          </w:tcPr>
          <w:p w14:paraId="0249DD0D" w14:textId="46CC563A"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8.470***</w:t>
            </w:r>
          </w:p>
        </w:tc>
        <w:tc>
          <w:tcPr>
            <w:tcW w:w="1094" w:type="dxa"/>
            <w:vAlign w:val="center"/>
          </w:tcPr>
          <w:p w14:paraId="66B1E921"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12.687***</w:t>
            </w:r>
          </w:p>
        </w:tc>
        <w:tc>
          <w:tcPr>
            <w:tcW w:w="1094" w:type="dxa"/>
            <w:vAlign w:val="center"/>
          </w:tcPr>
          <w:p w14:paraId="524973AD"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15.541**</w:t>
            </w:r>
          </w:p>
        </w:tc>
        <w:tc>
          <w:tcPr>
            <w:tcW w:w="1218" w:type="dxa"/>
            <w:vAlign w:val="center"/>
          </w:tcPr>
          <w:p w14:paraId="66E798C6" w14:textId="2814C0D2"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-16.185***</w:t>
            </w:r>
          </w:p>
        </w:tc>
        <w:tc>
          <w:tcPr>
            <w:tcW w:w="1170" w:type="dxa"/>
            <w:vAlign w:val="center"/>
          </w:tcPr>
          <w:p w14:paraId="5DDCD778" w14:textId="3F35F249"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-16.249***</w:t>
            </w:r>
          </w:p>
        </w:tc>
      </w:tr>
      <w:tr w:rsidR="00427451" w:rsidRPr="009A26E5" w14:paraId="22544CE7"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F92DE0C" w14:textId="77777777" w:rsidR="00427451" w:rsidRPr="009A26E5" w:rsidRDefault="00427451" w:rsidP="00F86A9E">
            <w:pPr>
              <w:spacing w:line="240" w:lineRule="auto"/>
              <w:jc w:val="left"/>
              <w:rPr>
                <w:sz w:val="18"/>
                <w:szCs w:val="20"/>
              </w:rPr>
            </w:pPr>
            <w:r w:rsidRPr="009A26E5">
              <w:rPr>
                <w:sz w:val="18"/>
                <w:szCs w:val="20"/>
              </w:rPr>
              <w:t>Time to maturity</w:t>
            </w:r>
          </w:p>
        </w:tc>
        <w:tc>
          <w:tcPr>
            <w:tcW w:w="1094" w:type="dxa"/>
            <w:vAlign w:val="center"/>
          </w:tcPr>
          <w:p w14:paraId="305D4DFF"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6860F19"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7.277***</w:t>
            </w:r>
          </w:p>
        </w:tc>
        <w:tc>
          <w:tcPr>
            <w:tcW w:w="1094" w:type="dxa"/>
            <w:vAlign w:val="center"/>
          </w:tcPr>
          <w:p w14:paraId="5FFDF54B" w14:textId="139CA4A0"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6.740***</w:t>
            </w:r>
          </w:p>
        </w:tc>
        <w:tc>
          <w:tcPr>
            <w:tcW w:w="1218" w:type="dxa"/>
            <w:vAlign w:val="center"/>
          </w:tcPr>
          <w:p w14:paraId="2CB81577"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25.659***</w:t>
            </w:r>
          </w:p>
        </w:tc>
        <w:tc>
          <w:tcPr>
            <w:tcW w:w="1170" w:type="dxa"/>
            <w:vAlign w:val="center"/>
          </w:tcPr>
          <w:p w14:paraId="2D1C3A31"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25.690***</w:t>
            </w:r>
          </w:p>
        </w:tc>
        <w:tc>
          <w:tcPr>
            <w:tcW w:w="1094" w:type="dxa"/>
            <w:vAlign w:val="center"/>
          </w:tcPr>
          <w:p w14:paraId="2EF139FA"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7749ECEE"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7.260***</w:t>
            </w:r>
          </w:p>
        </w:tc>
        <w:tc>
          <w:tcPr>
            <w:tcW w:w="1094" w:type="dxa"/>
            <w:vAlign w:val="center"/>
          </w:tcPr>
          <w:p w14:paraId="6A1360BE" w14:textId="7B645A40"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6.724***</w:t>
            </w:r>
          </w:p>
        </w:tc>
        <w:tc>
          <w:tcPr>
            <w:tcW w:w="1218" w:type="dxa"/>
            <w:vAlign w:val="center"/>
          </w:tcPr>
          <w:p w14:paraId="047343A6"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26.003***</w:t>
            </w:r>
          </w:p>
        </w:tc>
        <w:tc>
          <w:tcPr>
            <w:tcW w:w="1170" w:type="dxa"/>
            <w:vAlign w:val="center"/>
          </w:tcPr>
          <w:p w14:paraId="54F6FCFD"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26.038***</w:t>
            </w:r>
          </w:p>
        </w:tc>
      </w:tr>
      <w:tr w:rsidR="00427451" w:rsidRPr="009A26E5" w14:paraId="3CDF76AC"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7170F57" w14:textId="77777777" w:rsidR="00427451" w:rsidRPr="009A26E5" w:rsidRDefault="00427451" w:rsidP="00F86A9E">
            <w:pPr>
              <w:jc w:val="left"/>
              <w:rPr>
                <w:sz w:val="18"/>
                <w:szCs w:val="20"/>
              </w:rPr>
            </w:pPr>
            <w:r>
              <w:rPr>
                <w:sz w:val="18"/>
                <w:szCs w:val="20"/>
              </w:rPr>
              <w:t xml:space="preserve">Leverage*Time to </w:t>
            </w:r>
            <w:r w:rsidRPr="009A26E5">
              <w:rPr>
                <w:sz w:val="18"/>
                <w:szCs w:val="20"/>
              </w:rPr>
              <w:t>mat</w:t>
            </w:r>
          </w:p>
        </w:tc>
        <w:tc>
          <w:tcPr>
            <w:tcW w:w="1094" w:type="dxa"/>
            <w:vAlign w:val="center"/>
          </w:tcPr>
          <w:p w14:paraId="6AB432C7"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1E0CE2A6" w14:textId="53E73811"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-0.055</w:t>
            </w:r>
          </w:p>
        </w:tc>
        <w:tc>
          <w:tcPr>
            <w:tcW w:w="1094" w:type="dxa"/>
            <w:vAlign w:val="center"/>
          </w:tcPr>
          <w:p w14:paraId="6F5FB26C"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454CDB4F"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vAlign w:val="center"/>
          </w:tcPr>
          <w:p w14:paraId="30864C21" w14:textId="7FDD3549" w:rsidR="00427451" w:rsidRPr="009A26E5" w:rsidRDefault="00AA2963"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 </w:t>
            </w:r>
          </w:p>
        </w:tc>
        <w:tc>
          <w:tcPr>
            <w:tcW w:w="1094" w:type="dxa"/>
            <w:vAlign w:val="center"/>
          </w:tcPr>
          <w:p w14:paraId="2B234D14"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450CFDC" w14:textId="685ED6E4"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-0.055</w:t>
            </w:r>
          </w:p>
        </w:tc>
        <w:tc>
          <w:tcPr>
            <w:tcW w:w="1094" w:type="dxa"/>
            <w:vAlign w:val="center"/>
          </w:tcPr>
          <w:p w14:paraId="2B42EB5D"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414C0A5A"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vAlign w:val="center"/>
          </w:tcPr>
          <w:p w14:paraId="1D36080C"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427451" w:rsidRPr="009A26E5" w14:paraId="50D75672"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3D874CE" w14:textId="77777777" w:rsidR="00427451" w:rsidRPr="009A26E5" w:rsidRDefault="00427451" w:rsidP="00F86A9E">
            <w:pPr>
              <w:spacing w:line="240" w:lineRule="auto"/>
              <w:jc w:val="left"/>
              <w:rPr>
                <w:sz w:val="18"/>
                <w:szCs w:val="20"/>
              </w:rPr>
            </w:pPr>
            <w:r w:rsidRPr="009A26E5">
              <w:rPr>
                <w:sz w:val="18"/>
                <w:szCs w:val="20"/>
              </w:rPr>
              <w:t>Moody's rating</w:t>
            </w:r>
          </w:p>
        </w:tc>
        <w:tc>
          <w:tcPr>
            <w:tcW w:w="1094" w:type="dxa"/>
            <w:vAlign w:val="center"/>
          </w:tcPr>
          <w:p w14:paraId="0205F841"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3A117AEE"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4BA5C179"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-3.032**</w:t>
            </w:r>
          </w:p>
        </w:tc>
        <w:tc>
          <w:tcPr>
            <w:tcW w:w="1218" w:type="dxa"/>
            <w:vAlign w:val="center"/>
          </w:tcPr>
          <w:p w14:paraId="30FC149A" w14:textId="1966C631"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-6.483***</w:t>
            </w:r>
          </w:p>
        </w:tc>
        <w:tc>
          <w:tcPr>
            <w:tcW w:w="1170" w:type="dxa"/>
            <w:vAlign w:val="center"/>
          </w:tcPr>
          <w:p w14:paraId="51AF2306"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-6.497***</w:t>
            </w:r>
          </w:p>
        </w:tc>
        <w:tc>
          <w:tcPr>
            <w:tcW w:w="1094" w:type="dxa"/>
            <w:vAlign w:val="center"/>
          </w:tcPr>
          <w:p w14:paraId="46DF772B"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5EB8C3C"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386F8495"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-1.560</w:t>
            </w:r>
          </w:p>
        </w:tc>
        <w:tc>
          <w:tcPr>
            <w:tcW w:w="1218" w:type="dxa"/>
            <w:vAlign w:val="center"/>
          </w:tcPr>
          <w:p w14:paraId="293E171B" w14:textId="77777777"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-2.788</w:t>
            </w:r>
          </w:p>
        </w:tc>
        <w:tc>
          <w:tcPr>
            <w:tcW w:w="1170" w:type="dxa"/>
            <w:vAlign w:val="center"/>
          </w:tcPr>
          <w:p w14:paraId="4E092B84" w14:textId="16CE05B8" w:rsidR="00427451" w:rsidRPr="009A26E5" w:rsidRDefault="00427451"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-2.803</w:t>
            </w:r>
          </w:p>
        </w:tc>
      </w:tr>
      <w:tr w:rsidR="00685784" w:rsidRPr="009A26E5" w14:paraId="23A21A95"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01C380A" w14:textId="77777777" w:rsidR="00685784" w:rsidRPr="009A26E5" w:rsidRDefault="00685784" w:rsidP="00F86A9E">
            <w:pPr>
              <w:spacing w:line="240" w:lineRule="auto"/>
              <w:jc w:val="left"/>
              <w:rPr>
                <w:sz w:val="18"/>
                <w:szCs w:val="20"/>
              </w:rPr>
            </w:pPr>
            <w:r>
              <w:rPr>
                <w:sz w:val="18"/>
                <w:szCs w:val="20"/>
              </w:rPr>
              <w:t>Log(</w:t>
            </w:r>
            <w:r w:rsidRPr="009A26E5">
              <w:rPr>
                <w:sz w:val="18"/>
                <w:szCs w:val="20"/>
              </w:rPr>
              <w:t>Total Public Debt</w:t>
            </w:r>
            <w:r>
              <w:rPr>
                <w:sz w:val="18"/>
                <w:szCs w:val="20"/>
              </w:rPr>
              <w:t>)</w:t>
            </w:r>
          </w:p>
        </w:tc>
        <w:tc>
          <w:tcPr>
            <w:tcW w:w="1094" w:type="dxa"/>
            <w:vAlign w:val="center"/>
          </w:tcPr>
          <w:p w14:paraId="059ED5A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3977A22A"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3D950312" w14:textId="71EB18A4"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18A38CE7" w14:textId="220E979C"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-22.879***</w:t>
            </w:r>
          </w:p>
        </w:tc>
        <w:tc>
          <w:tcPr>
            <w:tcW w:w="1170" w:type="dxa"/>
            <w:vAlign w:val="center"/>
          </w:tcPr>
          <w:p w14:paraId="556138B5" w14:textId="27482AB4"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-23.006***</w:t>
            </w:r>
          </w:p>
        </w:tc>
        <w:tc>
          <w:tcPr>
            <w:tcW w:w="1094" w:type="dxa"/>
            <w:vAlign w:val="center"/>
          </w:tcPr>
          <w:p w14:paraId="0DC959D7"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08837A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4CC553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2DED09E0" w14:textId="2F385A79"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-68.085***</w:t>
            </w:r>
          </w:p>
        </w:tc>
        <w:tc>
          <w:tcPr>
            <w:tcW w:w="1170" w:type="dxa"/>
            <w:vAlign w:val="center"/>
          </w:tcPr>
          <w:p w14:paraId="79A0A9E1" w14:textId="1FF393B9"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-68.016***</w:t>
            </w:r>
          </w:p>
        </w:tc>
      </w:tr>
      <w:tr w:rsidR="00685784" w:rsidRPr="009A26E5" w14:paraId="5D08AD21"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CE28F56" w14:textId="77777777" w:rsidR="00685784" w:rsidRPr="009A26E5" w:rsidRDefault="00685784" w:rsidP="00F86A9E">
            <w:pPr>
              <w:spacing w:line="240" w:lineRule="auto"/>
              <w:jc w:val="left"/>
              <w:rPr>
                <w:sz w:val="18"/>
                <w:szCs w:val="20"/>
              </w:rPr>
            </w:pPr>
            <w:r w:rsidRPr="009A26E5">
              <w:rPr>
                <w:sz w:val="18"/>
                <w:szCs w:val="20"/>
              </w:rPr>
              <w:t>Financial Risk</w:t>
            </w:r>
          </w:p>
        </w:tc>
        <w:tc>
          <w:tcPr>
            <w:tcW w:w="1094" w:type="dxa"/>
            <w:vAlign w:val="center"/>
          </w:tcPr>
          <w:p w14:paraId="3AA19B7A"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64D66AD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10CE8E6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5F3AEC3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0.212***</w:t>
            </w:r>
          </w:p>
        </w:tc>
        <w:tc>
          <w:tcPr>
            <w:tcW w:w="1170" w:type="dxa"/>
            <w:vAlign w:val="center"/>
          </w:tcPr>
          <w:p w14:paraId="7286285E" w14:textId="5E76E9C9"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0.213***</w:t>
            </w:r>
          </w:p>
        </w:tc>
        <w:tc>
          <w:tcPr>
            <w:tcW w:w="1094" w:type="dxa"/>
            <w:vAlign w:val="center"/>
          </w:tcPr>
          <w:p w14:paraId="1FC7852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444CDFE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5436382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3F14C91F" w14:textId="12F3AC19"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0.122</w:t>
            </w:r>
          </w:p>
        </w:tc>
        <w:tc>
          <w:tcPr>
            <w:tcW w:w="1170" w:type="dxa"/>
            <w:vAlign w:val="center"/>
          </w:tcPr>
          <w:p w14:paraId="1B747066"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0.124</w:t>
            </w:r>
          </w:p>
        </w:tc>
      </w:tr>
      <w:tr w:rsidR="00685784" w:rsidRPr="009A26E5" w14:paraId="2D48A0D0"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0E6AE0B" w14:textId="77777777" w:rsidR="00685784" w:rsidRPr="009A26E5" w:rsidRDefault="00685784" w:rsidP="00F86A9E">
            <w:pPr>
              <w:spacing w:line="240" w:lineRule="auto"/>
              <w:jc w:val="left"/>
              <w:rPr>
                <w:sz w:val="18"/>
                <w:szCs w:val="20"/>
              </w:rPr>
            </w:pPr>
            <w:r w:rsidRPr="009A26E5">
              <w:rPr>
                <w:sz w:val="18"/>
                <w:szCs w:val="20"/>
              </w:rPr>
              <w:t>Central Bank Rate</w:t>
            </w:r>
          </w:p>
        </w:tc>
        <w:tc>
          <w:tcPr>
            <w:tcW w:w="1094" w:type="dxa"/>
            <w:vAlign w:val="center"/>
          </w:tcPr>
          <w:p w14:paraId="1CAFBAC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1C9D5BE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5BDA9CA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6CB9A62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1.051</w:t>
            </w:r>
          </w:p>
        </w:tc>
        <w:tc>
          <w:tcPr>
            <w:tcW w:w="1170" w:type="dxa"/>
            <w:vAlign w:val="center"/>
          </w:tcPr>
          <w:p w14:paraId="292862C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1.105</w:t>
            </w:r>
          </w:p>
        </w:tc>
        <w:tc>
          <w:tcPr>
            <w:tcW w:w="1094" w:type="dxa"/>
            <w:vAlign w:val="center"/>
          </w:tcPr>
          <w:p w14:paraId="0D61B406"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7844143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66C820C6"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269E3EF2" w14:textId="291DFA06"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0.793</w:t>
            </w:r>
          </w:p>
        </w:tc>
        <w:tc>
          <w:tcPr>
            <w:tcW w:w="1170" w:type="dxa"/>
            <w:vAlign w:val="center"/>
          </w:tcPr>
          <w:p w14:paraId="1FE19CC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0.852</w:t>
            </w:r>
          </w:p>
        </w:tc>
      </w:tr>
      <w:tr w:rsidR="00685784" w:rsidRPr="009A26E5" w14:paraId="3C5EDEAC"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64E2494" w14:textId="77777777" w:rsidR="00685784" w:rsidRPr="009A26E5" w:rsidRDefault="00685784" w:rsidP="00F86A9E">
            <w:pPr>
              <w:spacing w:line="240" w:lineRule="auto"/>
              <w:jc w:val="left"/>
              <w:rPr>
                <w:sz w:val="18"/>
                <w:szCs w:val="20"/>
              </w:rPr>
            </w:pPr>
            <w:r>
              <w:rPr>
                <w:sz w:val="18"/>
                <w:szCs w:val="20"/>
              </w:rPr>
              <w:t xml:space="preserve">Bloomberg Bond </w:t>
            </w:r>
            <w:proofErr w:type="spellStart"/>
            <w:r>
              <w:rPr>
                <w:sz w:val="18"/>
                <w:szCs w:val="20"/>
              </w:rPr>
              <w:t>Id</w:t>
            </w:r>
            <w:r w:rsidRPr="009A26E5">
              <w:rPr>
                <w:sz w:val="18"/>
                <w:szCs w:val="20"/>
              </w:rPr>
              <w:t>x</w:t>
            </w:r>
            <w:proofErr w:type="spellEnd"/>
          </w:p>
        </w:tc>
        <w:tc>
          <w:tcPr>
            <w:tcW w:w="1094" w:type="dxa"/>
            <w:vAlign w:val="center"/>
          </w:tcPr>
          <w:p w14:paraId="0EDE138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789F68F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1689FC62" w14:textId="356B45AD"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46A407CE" w14:textId="21341C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-0.488*</w:t>
            </w:r>
          </w:p>
        </w:tc>
        <w:tc>
          <w:tcPr>
            <w:tcW w:w="1170" w:type="dxa"/>
            <w:vAlign w:val="center"/>
          </w:tcPr>
          <w:p w14:paraId="1DCC3943" w14:textId="2D75300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-0.488*</w:t>
            </w:r>
          </w:p>
        </w:tc>
        <w:tc>
          <w:tcPr>
            <w:tcW w:w="1094" w:type="dxa"/>
            <w:vAlign w:val="center"/>
          </w:tcPr>
          <w:p w14:paraId="3EBD877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803E9E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193129CC"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0E1D39A6"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-0.100</w:t>
            </w:r>
          </w:p>
        </w:tc>
        <w:tc>
          <w:tcPr>
            <w:tcW w:w="1170" w:type="dxa"/>
            <w:vAlign w:val="center"/>
          </w:tcPr>
          <w:p w14:paraId="1239542C" w14:textId="673AB76C"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-0.101</w:t>
            </w:r>
          </w:p>
        </w:tc>
      </w:tr>
      <w:tr w:rsidR="00685784" w:rsidRPr="009A26E5" w14:paraId="776A3124"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E91394A" w14:textId="77777777" w:rsidR="00685784" w:rsidRPr="009A26E5" w:rsidRDefault="00685784" w:rsidP="00F86A9E">
            <w:pPr>
              <w:spacing w:line="240" w:lineRule="auto"/>
              <w:jc w:val="left"/>
              <w:rPr>
                <w:sz w:val="18"/>
                <w:szCs w:val="20"/>
              </w:rPr>
            </w:pPr>
            <w:r>
              <w:rPr>
                <w:sz w:val="18"/>
                <w:szCs w:val="20"/>
              </w:rPr>
              <w:t>VIX</w:t>
            </w:r>
          </w:p>
        </w:tc>
        <w:tc>
          <w:tcPr>
            <w:tcW w:w="1094" w:type="dxa"/>
            <w:vAlign w:val="center"/>
          </w:tcPr>
          <w:p w14:paraId="444F865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39E11211"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0A7EEFF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42C7BB41" w14:textId="0FE3C082"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vAlign w:val="center"/>
          </w:tcPr>
          <w:p w14:paraId="03678A21" w14:textId="2F5CF72C"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0.070</w:t>
            </w:r>
          </w:p>
        </w:tc>
        <w:tc>
          <w:tcPr>
            <w:tcW w:w="1094" w:type="dxa"/>
            <w:vAlign w:val="center"/>
          </w:tcPr>
          <w:p w14:paraId="362ABB7A"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2067069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vAlign w:val="center"/>
          </w:tcPr>
          <w:p w14:paraId="2B74D5C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vAlign w:val="center"/>
          </w:tcPr>
          <w:p w14:paraId="3C3AF87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vAlign w:val="center"/>
          </w:tcPr>
          <w:p w14:paraId="3D5B6CD0"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0.069</w:t>
            </w:r>
          </w:p>
        </w:tc>
      </w:tr>
      <w:tr w:rsidR="00685784" w:rsidRPr="009A26E5" w14:paraId="45EF86CB"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tcBorders>
              <w:bottom w:val="nil"/>
            </w:tcBorders>
            <w:vAlign w:val="center"/>
          </w:tcPr>
          <w:p w14:paraId="5469841E" w14:textId="77777777" w:rsidR="00685784" w:rsidRPr="009A26E5" w:rsidRDefault="00685784" w:rsidP="00F86A9E">
            <w:pPr>
              <w:spacing w:line="240" w:lineRule="auto"/>
              <w:jc w:val="left"/>
              <w:rPr>
                <w:sz w:val="18"/>
                <w:szCs w:val="20"/>
              </w:rPr>
            </w:pPr>
            <w:r w:rsidRPr="009A26E5">
              <w:rPr>
                <w:sz w:val="18"/>
                <w:szCs w:val="20"/>
              </w:rPr>
              <w:t>Constant</w:t>
            </w:r>
          </w:p>
        </w:tc>
        <w:tc>
          <w:tcPr>
            <w:tcW w:w="1094" w:type="dxa"/>
            <w:tcBorders>
              <w:bottom w:val="nil"/>
            </w:tcBorders>
            <w:vAlign w:val="center"/>
          </w:tcPr>
          <w:p w14:paraId="6EFE5E45" w14:textId="344051E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104.224**</w:t>
            </w:r>
          </w:p>
        </w:tc>
        <w:tc>
          <w:tcPr>
            <w:tcW w:w="1094" w:type="dxa"/>
            <w:tcBorders>
              <w:bottom w:val="nil"/>
            </w:tcBorders>
            <w:vAlign w:val="center"/>
          </w:tcPr>
          <w:p w14:paraId="2F73621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6.233</w:t>
            </w:r>
          </w:p>
        </w:tc>
        <w:tc>
          <w:tcPr>
            <w:tcW w:w="1094" w:type="dxa"/>
            <w:tcBorders>
              <w:bottom w:val="nil"/>
            </w:tcBorders>
            <w:vAlign w:val="center"/>
          </w:tcPr>
          <w:p w14:paraId="788620A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155.351</w:t>
            </w:r>
          </w:p>
        </w:tc>
        <w:tc>
          <w:tcPr>
            <w:tcW w:w="1218" w:type="dxa"/>
            <w:tcBorders>
              <w:bottom w:val="nil"/>
            </w:tcBorders>
            <w:vAlign w:val="center"/>
          </w:tcPr>
          <w:p w14:paraId="4CA0B2BD" w14:textId="2292D014"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1123.124***</w:t>
            </w:r>
          </w:p>
        </w:tc>
        <w:tc>
          <w:tcPr>
            <w:tcW w:w="1170" w:type="dxa"/>
            <w:tcBorders>
              <w:bottom w:val="nil"/>
            </w:tcBorders>
            <w:vAlign w:val="center"/>
          </w:tcPr>
          <w:p w14:paraId="4BF5DC5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1119.881***</w:t>
            </w:r>
          </w:p>
        </w:tc>
        <w:tc>
          <w:tcPr>
            <w:tcW w:w="1094" w:type="dxa"/>
            <w:tcBorders>
              <w:bottom w:val="nil"/>
            </w:tcBorders>
            <w:vAlign w:val="center"/>
          </w:tcPr>
          <w:p w14:paraId="3212F416" w14:textId="75455BD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136.569*</w:t>
            </w:r>
          </w:p>
        </w:tc>
        <w:tc>
          <w:tcPr>
            <w:tcW w:w="1094" w:type="dxa"/>
            <w:tcBorders>
              <w:bottom w:val="nil"/>
            </w:tcBorders>
            <w:vAlign w:val="center"/>
          </w:tcPr>
          <w:p w14:paraId="1C2ABAD9" w14:textId="00E13960"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-84.319</w:t>
            </w:r>
          </w:p>
        </w:tc>
        <w:tc>
          <w:tcPr>
            <w:tcW w:w="1094" w:type="dxa"/>
            <w:tcBorders>
              <w:bottom w:val="nil"/>
            </w:tcBorders>
            <w:vAlign w:val="center"/>
          </w:tcPr>
          <w:p w14:paraId="2E4EDBE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-76.604</w:t>
            </w:r>
          </w:p>
        </w:tc>
        <w:tc>
          <w:tcPr>
            <w:tcW w:w="1218" w:type="dxa"/>
            <w:tcBorders>
              <w:bottom w:val="nil"/>
            </w:tcBorders>
            <w:vAlign w:val="center"/>
          </w:tcPr>
          <w:p w14:paraId="22578BF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1598.093***</w:t>
            </w:r>
          </w:p>
        </w:tc>
        <w:tc>
          <w:tcPr>
            <w:tcW w:w="1170" w:type="dxa"/>
            <w:tcBorders>
              <w:bottom w:val="nil"/>
            </w:tcBorders>
            <w:vAlign w:val="center"/>
          </w:tcPr>
          <w:p w14:paraId="13A1EC36"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rPr>
              <w:t>1592.891***</w:t>
            </w:r>
          </w:p>
        </w:tc>
      </w:tr>
      <w:tr w:rsidR="00685784" w:rsidRPr="009A26E5" w14:paraId="0B89FDFA" w14:textId="77777777" w:rsidTr="00F86A9E">
        <w:trPr>
          <w:trHeight w:val="72"/>
        </w:trPr>
        <w:tc>
          <w:tcPr>
            <w:cnfStyle w:val="001000000000" w:firstRow="0" w:lastRow="0" w:firstColumn="1" w:lastColumn="0" w:oddVBand="0" w:evenVBand="0" w:oddHBand="0" w:evenHBand="0" w:firstRowFirstColumn="0" w:firstRowLastColumn="0" w:lastRowFirstColumn="0" w:lastRowLastColumn="0"/>
            <w:tcW w:w="1998" w:type="dxa"/>
            <w:tcBorders>
              <w:top w:val="nil"/>
              <w:bottom w:val="single" w:sz="2" w:space="0" w:color="auto"/>
            </w:tcBorders>
            <w:vAlign w:val="center"/>
          </w:tcPr>
          <w:p w14:paraId="1112F5E9" w14:textId="308CE525" w:rsidR="00685784" w:rsidRPr="009A26E5" w:rsidRDefault="00685784" w:rsidP="00F86A9E">
            <w:pPr>
              <w:spacing w:line="240" w:lineRule="auto"/>
              <w:jc w:val="left"/>
              <w:rPr>
                <w:sz w:val="18"/>
                <w:szCs w:val="20"/>
              </w:rPr>
            </w:pPr>
          </w:p>
        </w:tc>
        <w:tc>
          <w:tcPr>
            <w:tcW w:w="1094" w:type="dxa"/>
            <w:tcBorders>
              <w:top w:val="nil"/>
              <w:bottom w:val="single" w:sz="2" w:space="0" w:color="auto"/>
            </w:tcBorders>
            <w:vAlign w:val="center"/>
          </w:tcPr>
          <w:p w14:paraId="1F70AF2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nil"/>
              <w:bottom w:val="single" w:sz="2" w:space="0" w:color="auto"/>
            </w:tcBorders>
            <w:vAlign w:val="center"/>
          </w:tcPr>
          <w:p w14:paraId="40FC5E4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nil"/>
              <w:bottom w:val="single" w:sz="2" w:space="0" w:color="auto"/>
            </w:tcBorders>
            <w:vAlign w:val="center"/>
          </w:tcPr>
          <w:p w14:paraId="2CB8E3D1"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tcBorders>
              <w:top w:val="nil"/>
              <w:bottom w:val="single" w:sz="2" w:space="0" w:color="auto"/>
            </w:tcBorders>
            <w:vAlign w:val="center"/>
          </w:tcPr>
          <w:p w14:paraId="4C089A9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tcBorders>
              <w:top w:val="nil"/>
              <w:bottom w:val="single" w:sz="2" w:space="0" w:color="auto"/>
            </w:tcBorders>
            <w:vAlign w:val="center"/>
          </w:tcPr>
          <w:p w14:paraId="011FB8FA"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nil"/>
              <w:bottom w:val="single" w:sz="2" w:space="0" w:color="auto"/>
            </w:tcBorders>
            <w:vAlign w:val="center"/>
          </w:tcPr>
          <w:p w14:paraId="3907F6A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nil"/>
              <w:bottom w:val="single" w:sz="2" w:space="0" w:color="auto"/>
            </w:tcBorders>
            <w:vAlign w:val="center"/>
          </w:tcPr>
          <w:p w14:paraId="018F635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nil"/>
              <w:bottom w:val="single" w:sz="2" w:space="0" w:color="auto"/>
            </w:tcBorders>
            <w:vAlign w:val="center"/>
          </w:tcPr>
          <w:p w14:paraId="74E264F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tcBorders>
              <w:top w:val="nil"/>
              <w:bottom w:val="single" w:sz="2" w:space="0" w:color="auto"/>
            </w:tcBorders>
            <w:vAlign w:val="center"/>
          </w:tcPr>
          <w:p w14:paraId="2C47E3D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tcBorders>
              <w:top w:val="nil"/>
              <w:bottom w:val="single" w:sz="2" w:space="0" w:color="auto"/>
            </w:tcBorders>
            <w:vAlign w:val="center"/>
          </w:tcPr>
          <w:p w14:paraId="5CFDB15C"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685784" w:rsidRPr="009A26E5" w14:paraId="778F04F9" w14:textId="77777777" w:rsidTr="00F86A9E">
        <w:trPr>
          <w:trHeight w:val="72"/>
        </w:trPr>
        <w:tc>
          <w:tcPr>
            <w:cnfStyle w:val="001000000000" w:firstRow="0" w:lastRow="0" w:firstColumn="1" w:lastColumn="0" w:oddVBand="0" w:evenVBand="0" w:oddHBand="0" w:evenHBand="0" w:firstRowFirstColumn="0" w:firstRowLastColumn="0" w:lastRowFirstColumn="0" w:lastRowLastColumn="0"/>
            <w:tcW w:w="1998" w:type="dxa"/>
            <w:tcBorders>
              <w:top w:val="single" w:sz="2" w:space="0" w:color="auto"/>
              <w:bottom w:val="nil"/>
            </w:tcBorders>
            <w:vAlign w:val="center"/>
          </w:tcPr>
          <w:p w14:paraId="0AD56C10" w14:textId="77777777" w:rsidR="00685784" w:rsidRPr="009A26E5" w:rsidRDefault="00685784" w:rsidP="00F86A9E">
            <w:pPr>
              <w:spacing w:line="240" w:lineRule="auto"/>
              <w:jc w:val="left"/>
              <w:rPr>
                <w:sz w:val="18"/>
                <w:szCs w:val="20"/>
              </w:rPr>
            </w:pPr>
          </w:p>
        </w:tc>
        <w:tc>
          <w:tcPr>
            <w:tcW w:w="1094" w:type="dxa"/>
            <w:tcBorders>
              <w:top w:val="single" w:sz="2" w:space="0" w:color="auto"/>
              <w:bottom w:val="nil"/>
            </w:tcBorders>
            <w:vAlign w:val="center"/>
          </w:tcPr>
          <w:p w14:paraId="389F5EE1"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single" w:sz="2" w:space="0" w:color="auto"/>
              <w:bottom w:val="nil"/>
            </w:tcBorders>
            <w:vAlign w:val="center"/>
          </w:tcPr>
          <w:p w14:paraId="5507B900"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single" w:sz="2" w:space="0" w:color="auto"/>
              <w:bottom w:val="nil"/>
            </w:tcBorders>
            <w:vAlign w:val="center"/>
          </w:tcPr>
          <w:p w14:paraId="245117F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tcBorders>
              <w:top w:val="single" w:sz="2" w:space="0" w:color="auto"/>
              <w:bottom w:val="nil"/>
            </w:tcBorders>
            <w:vAlign w:val="center"/>
          </w:tcPr>
          <w:p w14:paraId="5611D000"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tcBorders>
              <w:top w:val="single" w:sz="2" w:space="0" w:color="auto"/>
              <w:bottom w:val="nil"/>
            </w:tcBorders>
            <w:vAlign w:val="center"/>
          </w:tcPr>
          <w:p w14:paraId="0465655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single" w:sz="2" w:space="0" w:color="auto"/>
              <w:bottom w:val="nil"/>
            </w:tcBorders>
            <w:vAlign w:val="center"/>
          </w:tcPr>
          <w:p w14:paraId="40EDB68A"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single" w:sz="2" w:space="0" w:color="auto"/>
              <w:bottom w:val="nil"/>
            </w:tcBorders>
            <w:vAlign w:val="center"/>
          </w:tcPr>
          <w:p w14:paraId="7A80903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094" w:type="dxa"/>
            <w:tcBorders>
              <w:top w:val="single" w:sz="2" w:space="0" w:color="auto"/>
              <w:bottom w:val="nil"/>
            </w:tcBorders>
            <w:vAlign w:val="center"/>
          </w:tcPr>
          <w:p w14:paraId="312A78A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218" w:type="dxa"/>
            <w:tcBorders>
              <w:top w:val="single" w:sz="2" w:space="0" w:color="auto"/>
              <w:bottom w:val="nil"/>
            </w:tcBorders>
            <w:vAlign w:val="center"/>
          </w:tcPr>
          <w:p w14:paraId="4562BE16"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170" w:type="dxa"/>
            <w:tcBorders>
              <w:top w:val="single" w:sz="2" w:space="0" w:color="auto"/>
              <w:bottom w:val="nil"/>
            </w:tcBorders>
            <w:vAlign w:val="center"/>
          </w:tcPr>
          <w:p w14:paraId="782326A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685784" w:rsidRPr="009A26E5" w14:paraId="4D3273C7"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tcBorders>
              <w:top w:val="nil"/>
            </w:tcBorders>
            <w:vAlign w:val="center"/>
          </w:tcPr>
          <w:p w14:paraId="47E11458" w14:textId="77777777" w:rsidR="00685784" w:rsidRPr="009A26E5" w:rsidRDefault="00685784" w:rsidP="00F86A9E">
            <w:pPr>
              <w:spacing w:line="240" w:lineRule="auto"/>
              <w:jc w:val="left"/>
              <w:rPr>
                <w:sz w:val="18"/>
                <w:szCs w:val="20"/>
              </w:rPr>
            </w:pPr>
            <w:r w:rsidRPr="009A26E5">
              <w:rPr>
                <w:sz w:val="18"/>
                <w:szCs w:val="20"/>
                <w:lang w:val="es-CO"/>
              </w:rPr>
              <w:t>r2_o</w:t>
            </w:r>
          </w:p>
        </w:tc>
        <w:tc>
          <w:tcPr>
            <w:tcW w:w="1094" w:type="dxa"/>
            <w:tcBorders>
              <w:top w:val="nil"/>
            </w:tcBorders>
            <w:vAlign w:val="center"/>
          </w:tcPr>
          <w:p w14:paraId="20D65A79" w14:textId="5B62CB80"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0.019</w:t>
            </w:r>
          </w:p>
        </w:tc>
        <w:tc>
          <w:tcPr>
            <w:tcW w:w="1094" w:type="dxa"/>
            <w:tcBorders>
              <w:top w:val="nil"/>
            </w:tcBorders>
            <w:vAlign w:val="center"/>
          </w:tcPr>
          <w:p w14:paraId="5A599A0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0.000</w:t>
            </w:r>
          </w:p>
        </w:tc>
        <w:tc>
          <w:tcPr>
            <w:tcW w:w="1094" w:type="dxa"/>
            <w:tcBorders>
              <w:top w:val="nil"/>
            </w:tcBorders>
            <w:vAlign w:val="center"/>
          </w:tcPr>
          <w:p w14:paraId="3A765EE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0.001</w:t>
            </w:r>
          </w:p>
        </w:tc>
        <w:tc>
          <w:tcPr>
            <w:tcW w:w="1218" w:type="dxa"/>
            <w:tcBorders>
              <w:top w:val="nil"/>
            </w:tcBorders>
            <w:vAlign w:val="center"/>
          </w:tcPr>
          <w:p w14:paraId="6A246AE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0.112</w:t>
            </w:r>
          </w:p>
        </w:tc>
        <w:tc>
          <w:tcPr>
            <w:tcW w:w="1170" w:type="dxa"/>
            <w:tcBorders>
              <w:top w:val="nil"/>
            </w:tcBorders>
            <w:vAlign w:val="center"/>
          </w:tcPr>
          <w:p w14:paraId="12264B0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0.112</w:t>
            </w:r>
          </w:p>
        </w:tc>
        <w:tc>
          <w:tcPr>
            <w:tcW w:w="1094" w:type="dxa"/>
            <w:tcBorders>
              <w:top w:val="nil"/>
            </w:tcBorders>
            <w:vAlign w:val="center"/>
          </w:tcPr>
          <w:p w14:paraId="621A2CD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0.022</w:t>
            </w:r>
          </w:p>
        </w:tc>
        <w:tc>
          <w:tcPr>
            <w:tcW w:w="1094" w:type="dxa"/>
            <w:tcBorders>
              <w:top w:val="nil"/>
            </w:tcBorders>
            <w:vAlign w:val="center"/>
          </w:tcPr>
          <w:p w14:paraId="2136AB91"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0.082</w:t>
            </w:r>
          </w:p>
        </w:tc>
        <w:tc>
          <w:tcPr>
            <w:tcW w:w="1094" w:type="dxa"/>
            <w:tcBorders>
              <w:top w:val="nil"/>
            </w:tcBorders>
            <w:vAlign w:val="center"/>
          </w:tcPr>
          <w:p w14:paraId="4960986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0.044</w:t>
            </w:r>
          </w:p>
        </w:tc>
        <w:tc>
          <w:tcPr>
            <w:tcW w:w="1218" w:type="dxa"/>
            <w:tcBorders>
              <w:top w:val="nil"/>
            </w:tcBorders>
            <w:vAlign w:val="center"/>
          </w:tcPr>
          <w:p w14:paraId="19C30F72" w14:textId="7825CD1B"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0.197</w:t>
            </w:r>
          </w:p>
        </w:tc>
        <w:tc>
          <w:tcPr>
            <w:tcW w:w="1170" w:type="dxa"/>
            <w:tcBorders>
              <w:top w:val="nil"/>
            </w:tcBorders>
            <w:vAlign w:val="center"/>
          </w:tcPr>
          <w:p w14:paraId="6B34371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0.197</w:t>
            </w:r>
          </w:p>
        </w:tc>
      </w:tr>
      <w:tr w:rsidR="00685784" w:rsidRPr="009A26E5" w14:paraId="2222E6BA"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3906DE4" w14:textId="77777777" w:rsidR="00685784" w:rsidRPr="009A26E5" w:rsidRDefault="00685784" w:rsidP="00F86A9E">
            <w:pPr>
              <w:spacing w:line="240" w:lineRule="auto"/>
              <w:jc w:val="left"/>
              <w:rPr>
                <w:sz w:val="18"/>
                <w:szCs w:val="20"/>
              </w:rPr>
            </w:pPr>
            <w:r w:rsidRPr="009A26E5">
              <w:rPr>
                <w:sz w:val="18"/>
                <w:szCs w:val="20"/>
                <w:lang w:val="es-CO"/>
              </w:rPr>
              <w:t>r2_b</w:t>
            </w:r>
          </w:p>
        </w:tc>
        <w:tc>
          <w:tcPr>
            <w:tcW w:w="1094" w:type="dxa"/>
            <w:vAlign w:val="center"/>
          </w:tcPr>
          <w:p w14:paraId="76D47A13" w14:textId="5D3A87C8"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0.037</w:t>
            </w:r>
          </w:p>
        </w:tc>
        <w:tc>
          <w:tcPr>
            <w:tcW w:w="1094" w:type="dxa"/>
            <w:vAlign w:val="center"/>
          </w:tcPr>
          <w:p w14:paraId="505C183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0.009</w:t>
            </w:r>
          </w:p>
        </w:tc>
        <w:tc>
          <w:tcPr>
            <w:tcW w:w="1094" w:type="dxa"/>
            <w:vAlign w:val="center"/>
          </w:tcPr>
          <w:p w14:paraId="781A1D2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0.011</w:t>
            </w:r>
          </w:p>
        </w:tc>
        <w:tc>
          <w:tcPr>
            <w:tcW w:w="1218" w:type="dxa"/>
            <w:vAlign w:val="center"/>
          </w:tcPr>
          <w:p w14:paraId="1CDCF780"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0.055</w:t>
            </w:r>
          </w:p>
        </w:tc>
        <w:tc>
          <w:tcPr>
            <w:tcW w:w="1170" w:type="dxa"/>
            <w:vAlign w:val="center"/>
          </w:tcPr>
          <w:p w14:paraId="640FA1EB"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0.055</w:t>
            </w:r>
          </w:p>
        </w:tc>
        <w:tc>
          <w:tcPr>
            <w:tcW w:w="1094" w:type="dxa"/>
            <w:vAlign w:val="center"/>
          </w:tcPr>
          <w:p w14:paraId="46C3ABF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0.028</w:t>
            </w:r>
          </w:p>
        </w:tc>
        <w:tc>
          <w:tcPr>
            <w:tcW w:w="1094" w:type="dxa"/>
            <w:vAlign w:val="center"/>
          </w:tcPr>
          <w:p w14:paraId="5BA8ABF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0.137</w:t>
            </w:r>
          </w:p>
        </w:tc>
        <w:tc>
          <w:tcPr>
            <w:tcW w:w="1094" w:type="dxa"/>
            <w:vAlign w:val="center"/>
          </w:tcPr>
          <w:p w14:paraId="70D949D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0.045</w:t>
            </w:r>
          </w:p>
        </w:tc>
        <w:tc>
          <w:tcPr>
            <w:tcW w:w="1218" w:type="dxa"/>
            <w:vAlign w:val="center"/>
          </w:tcPr>
          <w:p w14:paraId="5AF39327" w14:textId="2977F0FA"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0.168</w:t>
            </w:r>
          </w:p>
        </w:tc>
        <w:tc>
          <w:tcPr>
            <w:tcW w:w="1170" w:type="dxa"/>
            <w:vAlign w:val="center"/>
          </w:tcPr>
          <w:p w14:paraId="4D61205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0.168</w:t>
            </w:r>
          </w:p>
        </w:tc>
      </w:tr>
      <w:tr w:rsidR="00685784" w:rsidRPr="009A26E5" w14:paraId="3B9EB4F6"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FFA32BB" w14:textId="77777777" w:rsidR="00685784" w:rsidRPr="009A26E5" w:rsidRDefault="00685784" w:rsidP="00F86A9E">
            <w:pPr>
              <w:spacing w:line="240" w:lineRule="auto"/>
              <w:jc w:val="left"/>
              <w:rPr>
                <w:sz w:val="18"/>
                <w:szCs w:val="20"/>
              </w:rPr>
            </w:pPr>
            <w:r w:rsidRPr="009A26E5">
              <w:rPr>
                <w:sz w:val="18"/>
                <w:szCs w:val="20"/>
                <w:lang w:val="es-CO"/>
              </w:rPr>
              <w:t>r2_w</w:t>
            </w:r>
          </w:p>
        </w:tc>
        <w:tc>
          <w:tcPr>
            <w:tcW w:w="1094" w:type="dxa"/>
            <w:vAlign w:val="center"/>
          </w:tcPr>
          <w:p w14:paraId="2C78FC83" w14:textId="7964812E"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0.027</w:t>
            </w:r>
          </w:p>
        </w:tc>
        <w:tc>
          <w:tcPr>
            <w:tcW w:w="1094" w:type="dxa"/>
            <w:vAlign w:val="center"/>
          </w:tcPr>
          <w:p w14:paraId="387BF97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0.134</w:t>
            </w:r>
          </w:p>
        </w:tc>
        <w:tc>
          <w:tcPr>
            <w:tcW w:w="1094" w:type="dxa"/>
            <w:vAlign w:val="center"/>
          </w:tcPr>
          <w:p w14:paraId="071F30B1"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0.152</w:t>
            </w:r>
          </w:p>
        </w:tc>
        <w:tc>
          <w:tcPr>
            <w:tcW w:w="1218" w:type="dxa"/>
            <w:vAlign w:val="center"/>
          </w:tcPr>
          <w:p w14:paraId="529BA89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0.519</w:t>
            </w:r>
          </w:p>
        </w:tc>
        <w:tc>
          <w:tcPr>
            <w:tcW w:w="1170" w:type="dxa"/>
            <w:vAlign w:val="center"/>
          </w:tcPr>
          <w:p w14:paraId="389F0B0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0.520</w:t>
            </w:r>
          </w:p>
        </w:tc>
        <w:tc>
          <w:tcPr>
            <w:tcW w:w="1094" w:type="dxa"/>
            <w:vAlign w:val="center"/>
          </w:tcPr>
          <w:p w14:paraId="487726D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0.027</w:t>
            </w:r>
          </w:p>
        </w:tc>
        <w:tc>
          <w:tcPr>
            <w:tcW w:w="1094" w:type="dxa"/>
            <w:vAlign w:val="center"/>
          </w:tcPr>
          <w:p w14:paraId="1E1B013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0.134</w:t>
            </w:r>
          </w:p>
        </w:tc>
        <w:tc>
          <w:tcPr>
            <w:tcW w:w="1094" w:type="dxa"/>
            <w:vAlign w:val="center"/>
          </w:tcPr>
          <w:p w14:paraId="0D0B8543"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0.152</w:t>
            </w:r>
          </w:p>
        </w:tc>
        <w:tc>
          <w:tcPr>
            <w:tcW w:w="1218" w:type="dxa"/>
            <w:vAlign w:val="center"/>
          </w:tcPr>
          <w:p w14:paraId="0E0417BC" w14:textId="1FBCC42A"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0.524</w:t>
            </w:r>
          </w:p>
        </w:tc>
        <w:tc>
          <w:tcPr>
            <w:tcW w:w="1170" w:type="dxa"/>
            <w:vAlign w:val="center"/>
          </w:tcPr>
          <w:p w14:paraId="4E0F4A3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0.525</w:t>
            </w:r>
          </w:p>
        </w:tc>
      </w:tr>
      <w:tr w:rsidR="00685784" w:rsidRPr="009A26E5" w14:paraId="12EF598A"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29115D0" w14:textId="77777777" w:rsidR="00685784" w:rsidRPr="009A26E5" w:rsidRDefault="00685784" w:rsidP="00F86A9E">
            <w:pPr>
              <w:spacing w:line="240" w:lineRule="auto"/>
              <w:jc w:val="left"/>
              <w:rPr>
                <w:sz w:val="18"/>
                <w:szCs w:val="20"/>
              </w:rPr>
            </w:pPr>
            <w:proofErr w:type="spellStart"/>
            <w:r w:rsidRPr="009A26E5">
              <w:rPr>
                <w:sz w:val="18"/>
                <w:szCs w:val="20"/>
                <w:lang w:val="es-CO"/>
              </w:rPr>
              <w:t>sigma_u</w:t>
            </w:r>
            <w:proofErr w:type="spellEnd"/>
          </w:p>
        </w:tc>
        <w:tc>
          <w:tcPr>
            <w:tcW w:w="1094" w:type="dxa"/>
            <w:vAlign w:val="center"/>
          </w:tcPr>
          <w:p w14:paraId="22FE9B3D" w14:textId="27BE3BE0"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231.927</w:t>
            </w:r>
          </w:p>
        </w:tc>
        <w:tc>
          <w:tcPr>
            <w:tcW w:w="1094" w:type="dxa"/>
            <w:vAlign w:val="center"/>
          </w:tcPr>
          <w:p w14:paraId="1C96425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290.289</w:t>
            </w:r>
          </w:p>
        </w:tc>
        <w:tc>
          <w:tcPr>
            <w:tcW w:w="1094" w:type="dxa"/>
            <w:vAlign w:val="center"/>
          </w:tcPr>
          <w:p w14:paraId="4B7C9D0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279.499</w:t>
            </w:r>
          </w:p>
        </w:tc>
        <w:tc>
          <w:tcPr>
            <w:tcW w:w="1218" w:type="dxa"/>
            <w:vAlign w:val="center"/>
          </w:tcPr>
          <w:p w14:paraId="06A14567"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160.381</w:t>
            </w:r>
          </w:p>
        </w:tc>
        <w:tc>
          <w:tcPr>
            <w:tcW w:w="1170" w:type="dxa"/>
            <w:vAlign w:val="center"/>
          </w:tcPr>
          <w:p w14:paraId="73F03FC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161.166</w:t>
            </w:r>
          </w:p>
        </w:tc>
        <w:tc>
          <w:tcPr>
            <w:tcW w:w="1094" w:type="dxa"/>
            <w:vAlign w:val="center"/>
          </w:tcPr>
          <w:p w14:paraId="62CCB54C"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227.694</w:t>
            </w:r>
          </w:p>
        </w:tc>
        <w:tc>
          <w:tcPr>
            <w:tcW w:w="1094" w:type="dxa"/>
            <w:vAlign w:val="center"/>
          </w:tcPr>
          <w:p w14:paraId="6254215D"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275.942</w:t>
            </w:r>
          </w:p>
        </w:tc>
        <w:tc>
          <w:tcPr>
            <w:tcW w:w="1094" w:type="dxa"/>
            <w:vAlign w:val="center"/>
          </w:tcPr>
          <w:p w14:paraId="5090D72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287.569</w:t>
            </w:r>
          </w:p>
        </w:tc>
        <w:tc>
          <w:tcPr>
            <w:tcW w:w="1218" w:type="dxa"/>
            <w:vAlign w:val="center"/>
          </w:tcPr>
          <w:p w14:paraId="5F9BFD37" w14:textId="480BD831"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156.836</w:t>
            </w:r>
          </w:p>
        </w:tc>
        <w:tc>
          <w:tcPr>
            <w:tcW w:w="1170" w:type="dxa"/>
            <w:vAlign w:val="center"/>
          </w:tcPr>
          <w:p w14:paraId="7E4E0A55"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rPr>
            </w:pPr>
            <w:r w:rsidRPr="009A26E5">
              <w:rPr>
                <w:sz w:val="18"/>
                <w:szCs w:val="20"/>
                <w:lang w:val="es-CO"/>
              </w:rPr>
              <w:t>157.850</w:t>
            </w:r>
          </w:p>
        </w:tc>
      </w:tr>
      <w:tr w:rsidR="00685784" w:rsidRPr="009A26E5" w14:paraId="4359AA4E"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34AC3F3" w14:textId="77777777" w:rsidR="00685784" w:rsidRPr="009A26E5" w:rsidRDefault="00685784" w:rsidP="00F86A9E">
            <w:pPr>
              <w:spacing w:line="240" w:lineRule="auto"/>
              <w:jc w:val="left"/>
              <w:rPr>
                <w:sz w:val="18"/>
                <w:szCs w:val="20"/>
                <w:lang w:val="de-DE"/>
              </w:rPr>
            </w:pPr>
            <w:r w:rsidRPr="009A26E5">
              <w:rPr>
                <w:sz w:val="18"/>
                <w:szCs w:val="20"/>
                <w:lang w:val="de-DE"/>
              </w:rPr>
              <w:t>sigma_e</w:t>
            </w:r>
          </w:p>
        </w:tc>
        <w:tc>
          <w:tcPr>
            <w:tcW w:w="1094" w:type="dxa"/>
            <w:vAlign w:val="center"/>
          </w:tcPr>
          <w:p w14:paraId="664BF952"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47.396</w:t>
            </w:r>
          </w:p>
        </w:tc>
        <w:tc>
          <w:tcPr>
            <w:tcW w:w="1094" w:type="dxa"/>
            <w:vAlign w:val="center"/>
          </w:tcPr>
          <w:p w14:paraId="0BA8B9E7" w14:textId="0971A526"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44.306</w:t>
            </w:r>
          </w:p>
        </w:tc>
        <w:tc>
          <w:tcPr>
            <w:tcW w:w="1094" w:type="dxa"/>
            <w:vAlign w:val="center"/>
          </w:tcPr>
          <w:p w14:paraId="62F087BE" w14:textId="67D95202"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53.865</w:t>
            </w:r>
          </w:p>
        </w:tc>
        <w:tc>
          <w:tcPr>
            <w:tcW w:w="1218" w:type="dxa"/>
            <w:vAlign w:val="center"/>
          </w:tcPr>
          <w:p w14:paraId="40946009" w14:textId="172C0134"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35.809</w:t>
            </w:r>
          </w:p>
        </w:tc>
        <w:tc>
          <w:tcPr>
            <w:tcW w:w="1170" w:type="dxa"/>
            <w:vAlign w:val="center"/>
          </w:tcPr>
          <w:p w14:paraId="17351536" w14:textId="0E36DFA4"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35.793</w:t>
            </w:r>
          </w:p>
        </w:tc>
        <w:tc>
          <w:tcPr>
            <w:tcW w:w="1094" w:type="dxa"/>
            <w:vAlign w:val="center"/>
          </w:tcPr>
          <w:p w14:paraId="6A7B6738" w14:textId="6A2E4F72"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47.396</w:t>
            </w:r>
          </w:p>
        </w:tc>
        <w:tc>
          <w:tcPr>
            <w:tcW w:w="1094" w:type="dxa"/>
            <w:vAlign w:val="center"/>
          </w:tcPr>
          <w:p w14:paraId="1B33CECD" w14:textId="0DAAC373"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44.306</w:t>
            </w:r>
          </w:p>
        </w:tc>
        <w:tc>
          <w:tcPr>
            <w:tcW w:w="1094" w:type="dxa"/>
            <w:vAlign w:val="center"/>
          </w:tcPr>
          <w:p w14:paraId="2D9140D3" w14:textId="6B18CFFE"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53.865</w:t>
            </w:r>
          </w:p>
        </w:tc>
        <w:tc>
          <w:tcPr>
            <w:tcW w:w="1218" w:type="dxa"/>
            <w:vAlign w:val="center"/>
          </w:tcPr>
          <w:p w14:paraId="3870BAE4"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35.809</w:t>
            </w:r>
          </w:p>
        </w:tc>
        <w:tc>
          <w:tcPr>
            <w:tcW w:w="1170" w:type="dxa"/>
            <w:vAlign w:val="center"/>
          </w:tcPr>
          <w:p w14:paraId="57BE874E" w14:textId="31F02C79"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35.793</w:t>
            </w:r>
          </w:p>
        </w:tc>
      </w:tr>
      <w:tr w:rsidR="00685784" w:rsidRPr="009A26E5" w14:paraId="746A640B" w14:textId="77777777" w:rsidTr="00F86A9E">
        <w:trPr>
          <w:trHeight w:val="28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1E74C8C" w14:textId="77777777" w:rsidR="00685784" w:rsidRPr="009A26E5" w:rsidRDefault="00685784" w:rsidP="00F86A9E">
            <w:pPr>
              <w:spacing w:line="240" w:lineRule="auto"/>
              <w:jc w:val="left"/>
              <w:rPr>
                <w:sz w:val="18"/>
                <w:szCs w:val="20"/>
                <w:lang w:val="de-DE"/>
              </w:rPr>
            </w:pPr>
            <w:r w:rsidRPr="009A26E5">
              <w:rPr>
                <w:sz w:val="18"/>
                <w:szCs w:val="20"/>
                <w:lang w:val="de-DE"/>
              </w:rPr>
              <w:t>rho</w:t>
            </w:r>
          </w:p>
        </w:tc>
        <w:tc>
          <w:tcPr>
            <w:tcW w:w="1094" w:type="dxa"/>
            <w:vAlign w:val="center"/>
          </w:tcPr>
          <w:p w14:paraId="01708B61" w14:textId="65E6F8B1"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0.960</w:t>
            </w:r>
          </w:p>
        </w:tc>
        <w:tc>
          <w:tcPr>
            <w:tcW w:w="1094" w:type="dxa"/>
            <w:vAlign w:val="center"/>
          </w:tcPr>
          <w:p w14:paraId="559FA6A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0.977</w:t>
            </w:r>
          </w:p>
        </w:tc>
        <w:tc>
          <w:tcPr>
            <w:tcW w:w="1094" w:type="dxa"/>
            <w:vAlign w:val="center"/>
          </w:tcPr>
          <w:p w14:paraId="68C9717E"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0.964</w:t>
            </w:r>
          </w:p>
        </w:tc>
        <w:tc>
          <w:tcPr>
            <w:tcW w:w="1218" w:type="dxa"/>
            <w:vAlign w:val="center"/>
          </w:tcPr>
          <w:p w14:paraId="1313DAC0"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0.953</w:t>
            </w:r>
          </w:p>
        </w:tc>
        <w:tc>
          <w:tcPr>
            <w:tcW w:w="1170" w:type="dxa"/>
            <w:vAlign w:val="center"/>
          </w:tcPr>
          <w:p w14:paraId="7BBBA168"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0.953</w:t>
            </w:r>
          </w:p>
        </w:tc>
        <w:tc>
          <w:tcPr>
            <w:tcW w:w="1094" w:type="dxa"/>
            <w:vAlign w:val="center"/>
          </w:tcPr>
          <w:p w14:paraId="682C12A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0.958</w:t>
            </w:r>
          </w:p>
        </w:tc>
        <w:tc>
          <w:tcPr>
            <w:tcW w:w="1094" w:type="dxa"/>
            <w:vAlign w:val="center"/>
          </w:tcPr>
          <w:p w14:paraId="7DD59FCF"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0.975</w:t>
            </w:r>
          </w:p>
        </w:tc>
        <w:tc>
          <w:tcPr>
            <w:tcW w:w="1094" w:type="dxa"/>
            <w:vAlign w:val="center"/>
          </w:tcPr>
          <w:p w14:paraId="0760B90C"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0.966</w:t>
            </w:r>
          </w:p>
        </w:tc>
        <w:tc>
          <w:tcPr>
            <w:tcW w:w="1218" w:type="dxa"/>
            <w:vAlign w:val="center"/>
          </w:tcPr>
          <w:p w14:paraId="24A7A39B" w14:textId="68DF9D3A"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0.950</w:t>
            </w:r>
          </w:p>
        </w:tc>
        <w:tc>
          <w:tcPr>
            <w:tcW w:w="1170" w:type="dxa"/>
            <w:vAlign w:val="center"/>
          </w:tcPr>
          <w:p w14:paraId="4E3C2529" w14:textId="77777777" w:rsidR="00685784" w:rsidRPr="009A26E5" w:rsidRDefault="00685784" w:rsidP="00F86A9E">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20"/>
                <w:lang w:val="de-DE"/>
              </w:rPr>
            </w:pPr>
            <w:r w:rsidRPr="009A26E5">
              <w:rPr>
                <w:sz w:val="18"/>
                <w:szCs w:val="20"/>
                <w:lang w:val="de-DE"/>
              </w:rPr>
              <w:t>0.951</w:t>
            </w:r>
          </w:p>
        </w:tc>
      </w:tr>
    </w:tbl>
    <w:p w14:paraId="073A6FB5" w14:textId="35D33C71" w:rsidR="00A84EC3" w:rsidRDefault="0097184D" w:rsidP="00D520A3">
      <w:pPr>
        <w:rPr>
          <w:sz w:val="20"/>
        </w:rPr>
      </w:pPr>
      <w:r w:rsidRPr="0097184D">
        <w:rPr>
          <w:sz w:val="20"/>
        </w:rPr>
        <w:t>Legend: * p&lt;.1; ** p&lt;.05; *** p&lt;.01</w:t>
      </w:r>
    </w:p>
    <w:p w14:paraId="1274198C" w14:textId="77777777" w:rsidR="00427451" w:rsidRDefault="00427451">
      <w:pPr>
        <w:spacing w:line="240" w:lineRule="auto"/>
        <w:sectPr w:rsidR="00427451" w:rsidSect="00427451">
          <w:pgSz w:w="15840" w:h="12240" w:orient="landscape"/>
          <w:pgMar w:top="1699" w:right="1555" w:bottom="1699" w:left="1699" w:header="706" w:footer="806" w:gutter="0"/>
          <w:cols w:space="708"/>
          <w:docGrid w:linePitch="360"/>
        </w:sectPr>
      </w:pPr>
    </w:p>
    <w:p w14:paraId="04C586D7" w14:textId="0B04D16D" w:rsidR="00427451" w:rsidRDefault="00427451">
      <w:pPr>
        <w:spacing w:line="240" w:lineRule="auto"/>
      </w:pPr>
    </w:p>
    <w:p w14:paraId="316385ED" w14:textId="77777777" w:rsidR="00427451" w:rsidRPr="0097184D" w:rsidRDefault="00427451" w:rsidP="00427451"/>
    <w:sectPr w:rsidR="00427451" w:rsidRPr="0097184D" w:rsidSect="002D431B">
      <w:pgSz w:w="12240" w:h="15840"/>
      <w:pgMar w:top="1701" w:right="1701" w:bottom="1560" w:left="1701" w:header="708" w:footer="8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28939" w14:textId="77777777" w:rsidR="00FF3F52" w:rsidRDefault="00FF3F52" w:rsidP="00E80B52">
      <w:r>
        <w:separator/>
      </w:r>
    </w:p>
  </w:endnote>
  <w:endnote w:type="continuationSeparator" w:id="0">
    <w:p w14:paraId="3489DF2B" w14:textId="77777777" w:rsidR="00FF3F52" w:rsidRDefault="00FF3F52" w:rsidP="00E8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ＤＦＰ行書体">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95FA" w14:textId="042A0078" w:rsidR="00562C71" w:rsidRPr="008F00E6" w:rsidRDefault="00562C71" w:rsidP="00AD7124">
    <w:pPr>
      <w:pStyle w:val="Piedepgina"/>
      <w:tabs>
        <w:tab w:val="clear" w:pos="4419"/>
      </w:tabs>
      <w:rPr>
        <w:rFonts w:ascii="Cambria" w:hAnsi="Cambria"/>
      </w:rPr>
    </w:pPr>
    <w:r w:rsidRPr="008F00E6">
      <w:rPr>
        <w:rFonts w:ascii="Cambria" w:hAnsi="Cambria"/>
      </w:rPr>
      <w:tab/>
    </w:r>
    <w:r w:rsidRPr="008F00E6">
      <w:fldChar w:fldCharType="begin"/>
    </w:r>
    <w:r w:rsidRPr="008F00E6">
      <w:instrText xml:space="preserve"> PAGE   \* MERGEFORMAT </w:instrText>
    </w:r>
    <w:r w:rsidRPr="008F00E6">
      <w:fldChar w:fldCharType="separate"/>
    </w:r>
    <w:r w:rsidR="008A6CF2" w:rsidRPr="008A6CF2">
      <w:rPr>
        <w:rFonts w:ascii="Cambria" w:hAnsi="Cambria"/>
        <w:noProof/>
      </w:rPr>
      <w:t>11</w:t>
    </w:r>
    <w:r w:rsidRPr="008F00E6">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53800" w14:textId="77777777" w:rsidR="00FF3F52" w:rsidRDefault="00FF3F52" w:rsidP="00E80B52">
      <w:r>
        <w:separator/>
      </w:r>
    </w:p>
  </w:footnote>
  <w:footnote w:type="continuationSeparator" w:id="0">
    <w:p w14:paraId="3EF7703D" w14:textId="77777777" w:rsidR="00FF3F52" w:rsidRDefault="00FF3F52" w:rsidP="00E80B52">
      <w:r>
        <w:continuationSeparator/>
      </w:r>
    </w:p>
  </w:footnote>
  <w:footnote w:id="1">
    <w:p w14:paraId="01BB6A85" w14:textId="564DA8B8" w:rsidR="00562C71" w:rsidRPr="006E2169" w:rsidRDefault="00562C71">
      <w:pPr>
        <w:pStyle w:val="Textonotapie"/>
      </w:pPr>
      <w:r w:rsidRPr="002A542E">
        <w:rPr>
          <w:rStyle w:val="Refdenotaalpie"/>
        </w:rPr>
        <w:footnoteRef/>
      </w:r>
      <w:r>
        <w:t xml:space="preserve"> </w:t>
      </w:r>
      <w:r w:rsidRPr="006E2169">
        <w:t>OAS analyzes the cash flow associated to a bond with the market’s interest rates and values the embedded options against the market volatility.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C29C" w14:textId="77777777" w:rsidR="00562C71" w:rsidRPr="005239E0" w:rsidRDefault="00562C71" w:rsidP="005239E0">
    <w:pPr>
      <w:pStyle w:val="Encabezado"/>
      <w:ind w:left="3402"/>
      <w:rPr>
        <w:b/>
        <w:sz w:val="28"/>
        <w:lang w:val="es-ES"/>
      </w:rPr>
    </w:pPr>
    <w:r>
      <w:rPr>
        <w:noProof/>
        <w:lang w:val="es-CO" w:eastAsia="es-CO"/>
      </w:rPr>
      <w:drawing>
        <wp:anchor distT="0" distB="0" distL="114300" distR="114300" simplePos="0" relativeHeight="251657728" behindDoc="1" locked="0" layoutInCell="1" allowOverlap="1" wp14:anchorId="4EE20089" wp14:editId="4F3B5C37">
          <wp:simplePos x="0" y="0"/>
          <wp:positionH relativeFrom="column">
            <wp:posOffset>-3810</wp:posOffset>
          </wp:positionH>
          <wp:positionV relativeFrom="paragraph">
            <wp:posOffset>8255</wp:posOffset>
          </wp:positionV>
          <wp:extent cx="1228725" cy="552450"/>
          <wp:effectExtent l="19050" t="0" r="9525" b="0"/>
          <wp:wrapNone/>
          <wp:docPr id="1" name="Imagen 1" descr="log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andes"/>
                  <pic:cNvPicPr>
                    <a:picLocks noChangeAspect="1" noChangeArrowheads="1"/>
                  </pic:cNvPicPr>
                </pic:nvPicPr>
                <pic:blipFill>
                  <a:blip r:embed="rId1"/>
                  <a:srcRect/>
                  <a:stretch>
                    <a:fillRect/>
                  </a:stretch>
                </pic:blipFill>
                <pic:spPr bwMode="auto">
                  <a:xfrm>
                    <a:off x="0" y="0"/>
                    <a:ext cx="1228725" cy="552450"/>
                  </a:xfrm>
                  <a:prstGeom prst="rect">
                    <a:avLst/>
                  </a:prstGeom>
                  <a:noFill/>
                </pic:spPr>
              </pic:pic>
            </a:graphicData>
          </a:graphic>
        </wp:anchor>
      </w:drawing>
    </w:r>
  </w:p>
  <w:p w14:paraId="2E268994" w14:textId="77777777" w:rsidR="00562C71" w:rsidRPr="00E36FCE" w:rsidRDefault="00562C71" w:rsidP="00504975">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27"/>
    <w:multiLevelType w:val="hybridMultilevel"/>
    <w:tmpl w:val="E55C96EC"/>
    <w:lvl w:ilvl="0" w:tplc="75E69A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32657"/>
    <w:multiLevelType w:val="hybridMultilevel"/>
    <w:tmpl w:val="36D6FBFA"/>
    <w:lvl w:ilvl="0" w:tplc="2988A192">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FF02AF"/>
    <w:multiLevelType w:val="hybridMultilevel"/>
    <w:tmpl w:val="5E7C46E4"/>
    <w:lvl w:ilvl="0" w:tplc="BF105214">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F944EF3"/>
    <w:multiLevelType w:val="hybridMultilevel"/>
    <w:tmpl w:val="2B12C6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FED2D78"/>
    <w:multiLevelType w:val="hybridMultilevel"/>
    <w:tmpl w:val="37728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1B078C"/>
    <w:multiLevelType w:val="hybridMultilevel"/>
    <w:tmpl w:val="80F002E6"/>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BC442F"/>
    <w:multiLevelType w:val="multilevel"/>
    <w:tmpl w:val="08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7">
    <w:nsid w:val="1BD27594"/>
    <w:multiLevelType w:val="hybridMultilevel"/>
    <w:tmpl w:val="E9C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F72F1"/>
    <w:multiLevelType w:val="hybridMultilevel"/>
    <w:tmpl w:val="A48290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4D53496"/>
    <w:multiLevelType w:val="hybridMultilevel"/>
    <w:tmpl w:val="2D8EF5FA"/>
    <w:lvl w:ilvl="0" w:tplc="2AE04898">
      <w:start w:val="3"/>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1778CB"/>
    <w:multiLevelType w:val="hybridMultilevel"/>
    <w:tmpl w:val="C1C64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C6D25"/>
    <w:multiLevelType w:val="hybridMultilevel"/>
    <w:tmpl w:val="D2882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3F6BF2"/>
    <w:multiLevelType w:val="hybridMultilevel"/>
    <w:tmpl w:val="D05A9C38"/>
    <w:lvl w:ilvl="0" w:tplc="080A000F">
      <w:start w:val="1"/>
      <w:numFmt w:val="decimal"/>
      <w:lvlText w:val="%1."/>
      <w:lvlJc w:val="left"/>
      <w:pPr>
        <w:ind w:left="360" w:hanging="360"/>
      </w:pPr>
      <w:rPr>
        <w:rFonts w:cs="Times New Roman"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DBD400D"/>
    <w:multiLevelType w:val="hybridMultilevel"/>
    <w:tmpl w:val="E58A68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9226E92"/>
    <w:multiLevelType w:val="hybridMultilevel"/>
    <w:tmpl w:val="3252BB60"/>
    <w:lvl w:ilvl="0" w:tplc="2AE04898">
      <w:start w:val="3"/>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B227C"/>
    <w:multiLevelType w:val="hybridMultilevel"/>
    <w:tmpl w:val="2F6A761E"/>
    <w:lvl w:ilvl="0" w:tplc="2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ED2150A"/>
    <w:multiLevelType w:val="multilevel"/>
    <w:tmpl w:val="DA907FF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561B1DB1"/>
    <w:multiLevelType w:val="hybridMultilevel"/>
    <w:tmpl w:val="710443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6960CCF"/>
    <w:multiLevelType w:val="hybridMultilevel"/>
    <w:tmpl w:val="1E0896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ED30D81"/>
    <w:multiLevelType w:val="hybridMultilevel"/>
    <w:tmpl w:val="7C240660"/>
    <w:lvl w:ilvl="0" w:tplc="2AE04898">
      <w:start w:val="3"/>
      <w:numFmt w:val="bullet"/>
      <w:lvlText w:val="-"/>
      <w:lvlJc w:val="left"/>
      <w:pPr>
        <w:ind w:left="360" w:hanging="360"/>
      </w:pPr>
      <w:rPr>
        <w:rFonts w:ascii="Times New Roman" w:eastAsia="Times New Roman" w:hAnsi="Times New Roman"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29C3BEA"/>
    <w:multiLevelType w:val="hybridMultilevel"/>
    <w:tmpl w:val="9FC6D92E"/>
    <w:lvl w:ilvl="0" w:tplc="75E69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D200C"/>
    <w:multiLevelType w:val="hybridMultilevel"/>
    <w:tmpl w:val="F7C4E51A"/>
    <w:lvl w:ilvl="0" w:tplc="080A0001">
      <w:start w:val="1"/>
      <w:numFmt w:val="bullet"/>
      <w:lvlText w:val=""/>
      <w:lvlJc w:val="left"/>
      <w:pPr>
        <w:ind w:left="360" w:hanging="360"/>
      </w:pPr>
      <w:rPr>
        <w:rFonts w:ascii="Symbol" w:hAnsi="Symbol" w:hint="default"/>
      </w:rPr>
    </w:lvl>
    <w:lvl w:ilvl="1" w:tplc="2AE04898">
      <w:start w:val="3"/>
      <w:numFmt w:val="bullet"/>
      <w:lvlText w:val="-"/>
      <w:lvlJc w:val="left"/>
      <w:pPr>
        <w:ind w:left="1080" w:hanging="360"/>
      </w:pPr>
      <w:rPr>
        <w:rFonts w:ascii="Times New Roman" w:eastAsia="Times New Roman" w:hAnsi="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3CA58CF"/>
    <w:multiLevelType w:val="hybridMultilevel"/>
    <w:tmpl w:val="98A8D002"/>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75FE605E"/>
    <w:multiLevelType w:val="hybridMultilevel"/>
    <w:tmpl w:val="8FF66D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69742E8"/>
    <w:multiLevelType w:val="hybridMultilevel"/>
    <w:tmpl w:val="ED86C3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7316CFE"/>
    <w:multiLevelType w:val="hybridMultilevel"/>
    <w:tmpl w:val="43020A5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A64AE3"/>
    <w:multiLevelType w:val="hybridMultilevel"/>
    <w:tmpl w:val="6F6CF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21"/>
  </w:num>
  <w:num w:numId="5">
    <w:abstractNumId w:val="22"/>
  </w:num>
  <w:num w:numId="6">
    <w:abstractNumId w:val="8"/>
  </w:num>
  <w:num w:numId="7">
    <w:abstractNumId w:val="3"/>
  </w:num>
  <w:num w:numId="8">
    <w:abstractNumId w:val="12"/>
  </w:num>
  <w:num w:numId="9">
    <w:abstractNumId w:val="24"/>
  </w:num>
  <w:num w:numId="10">
    <w:abstractNumId w:val="17"/>
  </w:num>
  <w:num w:numId="11">
    <w:abstractNumId w:val="23"/>
  </w:num>
  <w:num w:numId="12">
    <w:abstractNumId w:val="15"/>
  </w:num>
  <w:num w:numId="13">
    <w:abstractNumId w:val="25"/>
  </w:num>
  <w:num w:numId="14">
    <w:abstractNumId w:val="5"/>
  </w:num>
  <w:num w:numId="15">
    <w:abstractNumId w:val="9"/>
  </w:num>
  <w:num w:numId="16">
    <w:abstractNumId w:val="14"/>
  </w:num>
  <w:num w:numId="17">
    <w:abstractNumId w:val="26"/>
  </w:num>
  <w:num w:numId="18">
    <w:abstractNumId w:val="4"/>
  </w:num>
  <w:num w:numId="19">
    <w:abstractNumId w:val="2"/>
  </w:num>
  <w:num w:numId="20">
    <w:abstractNumId w:val="16"/>
  </w:num>
  <w:num w:numId="21">
    <w:abstractNumId w:val="6"/>
  </w:num>
  <w:num w:numId="22">
    <w:abstractNumId w:val="1"/>
  </w:num>
  <w:num w:numId="23">
    <w:abstractNumId w:val="11"/>
  </w:num>
  <w:num w:numId="24">
    <w:abstractNumId w:val="6"/>
  </w:num>
  <w:num w:numId="25">
    <w:abstractNumId w:val="6"/>
  </w:num>
  <w:num w:numId="26">
    <w:abstractNumId w:val="6"/>
  </w:num>
  <w:num w:numId="27">
    <w:abstractNumId w:val="6"/>
  </w:num>
  <w:num w:numId="28">
    <w:abstractNumId w:val="6"/>
  </w:num>
  <w:num w:numId="29">
    <w:abstractNumId w:val="0"/>
  </w:num>
  <w:num w:numId="30">
    <w:abstractNumId w:val="7"/>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A3"/>
    <w:rsid w:val="00000F91"/>
    <w:rsid w:val="000043C0"/>
    <w:rsid w:val="00005E04"/>
    <w:rsid w:val="0000732A"/>
    <w:rsid w:val="000105B5"/>
    <w:rsid w:val="000135D0"/>
    <w:rsid w:val="00015298"/>
    <w:rsid w:val="000165A2"/>
    <w:rsid w:val="0002712A"/>
    <w:rsid w:val="00031EEC"/>
    <w:rsid w:val="00032FA5"/>
    <w:rsid w:val="00033B69"/>
    <w:rsid w:val="0003776B"/>
    <w:rsid w:val="00050327"/>
    <w:rsid w:val="00050426"/>
    <w:rsid w:val="00052498"/>
    <w:rsid w:val="00055405"/>
    <w:rsid w:val="000622AD"/>
    <w:rsid w:val="00065FF2"/>
    <w:rsid w:val="000705EB"/>
    <w:rsid w:val="00070D02"/>
    <w:rsid w:val="00071A3E"/>
    <w:rsid w:val="00075D28"/>
    <w:rsid w:val="00080D2F"/>
    <w:rsid w:val="0009335A"/>
    <w:rsid w:val="000A06F5"/>
    <w:rsid w:val="000A77C5"/>
    <w:rsid w:val="000B64CE"/>
    <w:rsid w:val="000B7A97"/>
    <w:rsid w:val="000C2C3A"/>
    <w:rsid w:val="000C384C"/>
    <w:rsid w:val="000C469F"/>
    <w:rsid w:val="000C4C92"/>
    <w:rsid w:val="000C50B7"/>
    <w:rsid w:val="000D0976"/>
    <w:rsid w:val="000D4EAC"/>
    <w:rsid w:val="000D6CAF"/>
    <w:rsid w:val="000F1667"/>
    <w:rsid w:val="000F617E"/>
    <w:rsid w:val="00104845"/>
    <w:rsid w:val="001048BA"/>
    <w:rsid w:val="00105AF4"/>
    <w:rsid w:val="00106DBA"/>
    <w:rsid w:val="00107DDC"/>
    <w:rsid w:val="001119AC"/>
    <w:rsid w:val="00111D74"/>
    <w:rsid w:val="00120B88"/>
    <w:rsid w:val="0012109A"/>
    <w:rsid w:val="00123DD0"/>
    <w:rsid w:val="00126BA4"/>
    <w:rsid w:val="00127C7B"/>
    <w:rsid w:val="00130FA9"/>
    <w:rsid w:val="0013100A"/>
    <w:rsid w:val="00136759"/>
    <w:rsid w:val="00140236"/>
    <w:rsid w:val="00140E6A"/>
    <w:rsid w:val="00141971"/>
    <w:rsid w:val="00144AA4"/>
    <w:rsid w:val="00146FB4"/>
    <w:rsid w:val="00150CBD"/>
    <w:rsid w:val="001527C8"/>
    <w:rsid w:val="001550AC"/>
    <w:rsid w:val="001554B8"/>
    <w:rsid w:val="00160DC5"/>
    <w:rsid w:val="001715B1"/>
    <w:rsid w:val="00182818"/>
    <w:rsid w:val="00197020"/>
    <w:rsid w:val="001B0186"/>
    <w:rsid w:val="001B2756"/>
    <w:rsid w:val="001C26C4"/>
    <w:rsid w:val="001C2E4E"/>
    <w:rsid w:val="001C73F8"/>
    <w:rsid w:val="001D3272"/>
    <w:rsid w:val="001E0D79"/>
    <w:rsid w:val="001E0FCB"/>
    <w:rsid w:val="001E34AA"/>
    <w:rsid w:val="001E7D11"/>
    <w:rsid w:val="00204717"/>
    <w:rsid w:val="00210852"/>
    <w:rsid w:val="00221BF9"/>
    <w:rsid w:val="002413F8"/>
    <w:rsid w:val="00241BE9"/>
    <w:rsid w:val="00242C8A"/>
    <w:rsid w:val="00243B04"/>
    <w:rsid w:val="00243DCB"/>
    <w:rsid w:val="002504EC"/>
    <w:rsid w:val="0025621C"/>
    <w:rsid w:val="00262155"/>
    <w:rsid w:val="00273395"/>
    <w:rsid w:val="00274E85"/>
    <w:rsid w:val="00282304"/>
    <w:rsid w:val="00282A59"/>
    <w:rsid w:val="0028577B"/>
    <w:rsid w:val="00294507"/>
    <w:rsid w:val="00294938"/>
    <w:rsid w:val="002A1765"/>
    <w:rsid w:val="002A542E"/>
    <w:rsid w:val="002A63E8"/>
    <w:rsid w:val="002A706E"/>
    <w:rsid w:val="002B64DE"/>
    <w:rsid w:val="002C0879"/>
    <w:rsid w:val="002C160E"/>
    <w:rsid w:val="002D1363"/>
    <w:rsid w:val="002D1FC1"/>
    <w:rsid w:val="002D431B"/>
    <w:rsid w:val="002D50BC"/>
    <w:rsid w:val="002E2F1E"/>
    <w:rsid w:val="002E4173"/>
    <w:rsid w:val="002F27AA"/>
    <w:rsid w:val="002F4BD3"/>
    <w:rsid w:val="002F6D8F"/>
    <w:rsid w:val="003034B1"/>
    <w:rsid w:val="00304BFB"/>
    <w:rsid w:val="00305C8C"/>
    <w:rsid w:val="0031104A"/>
    <w:rsid w:val="0031310F"/>
    <w:rsid w:val="00313CB8"/>
    <w:rsid w:val="00315EC0"/>
    <w:rsid w:val="00320ACF"/>
    <w:rsid w:val="00324025"/>
    <w:rsid w:val="003242B1"/>
    <w:rsid w:val="00324600"/>
    <w:rsid w:val="00325C55"/>
    <w:rsid w:val="00327A76"/>
    <w:rsid w:val="00331B63"/>
    <w:rsid w:val="00331C73"/>
    <w:rsid w:val="0033349F"/>
    <w:rsid w:val="0033373D"/>
    <w:rsid w:val="00335F30"/>
    <w:rsid w:val="00336113"/>
    <w:rsid w:val="0034770F"/>
    <w:rsid w:val="0035183E"/>
    <w:rsid w:val="00371451"/>
    <w:rsid w:val="003752D8"/>
    <w:rsid w:val="00394021"/>
    <w:rsid w:val="003A0C6F"/>
    <w:rsid w:val="003A4B80"/>
    <w:rsid w:val="003B43AA"/>
    <w:rsid w:val="003B4ABC"/>
    <w:rsid w:val="003B7FAB"/>
    <w:rsid w:val="003C5CF6"/>
    <w:rsid w:val="003C6C58"/>
    <w:rsid w:val="003D1302"/>
    <w:rsid w:val="003E20AE"/>
    <w:rsid w:val="003E3C86"/>
    <w:rsid w:val="003E3FE2"/>
    <w:rsid w:val="00404186"/>
    <w:rsid w:val="00411C81"/>
    <w:rsid w:val="00412F4E"/>
    <w:rsid w:val="0041573F"/>
    <w:rsid w:val="0041704E"/>
    <w:rsid w:val="00421249"/>
    <w:rsid w:val="00427451"/>
    <w:rsid w:val="00431345"/>
    <w:rsid w:val="00432FB9"/>
    <w:rsid w:val="00434843"/>
    <w:rsid w:val="00436140"/>
    <w:rsid w:val="0044514A"/>
    <w:rsid w:val="00452EA0"/>
    <w:rsid w:val="00463BEA"/>
    <w:rsid w:val="004673E8"/>
    <w:rsid w:val="00467E31"/>
    <w:rsid w:val="0047373C"/>
    <w:rsid w:val="004758CC"/>
    <w:rsid w:val="00476D12"/>
    <w:rsid w:val="00485380"/>
    <w:rsid w:val="00490EEB"/>
    <w:rsid w:val="00496E0E"/>
    <w:rsid w:val="004A113A"/>
    <w:rsid w:val="004A1146"/>
    <w:rsid w:val="004A60DE"/>
    <w:rsid w:val="004B190C"/>
    <w:rsid w:val="004B49F6"/>
    <w:rsid w:val="004C755F"/>
    <w:rsid w:val="004D3C38"/>
    <w:rsid w:val="004E391A"/>
    <w:rsid w:val="004E6E4D"/>
    <w:rsid w:val="004F2FDD"/>
    <w:rsid w:val="004F33F9"/>
    <w:rsid w:val="004F6697"/>
    <w:rsid w:val="004F76CE"/>
    <w:rsid w:val="0050094E"/>
    <w:rsid w:val="00500DFC"/>
    <w:rsid w:val="005010CE"/>
    <w:rsid w:val="00504975"/>
    <w:rsid w:val="00510A3C"/>
    <w:rsid w:val="00513462"/>
    <w:rsid w:val="005134D4"/>
    <w:rsid w:val="005163E9"/>
    <w:rsid w:val="005239E0"/>
    <w:rsid w:val="005322D4"/>
    <w:rsid w:val="005418BD"/>
    <w:rsid w:val="0054232C"/>
    <w:rsid w:val="00551BB4"/>
    <w:rsid w:val="00553749"/>
    <w:rsid w:val="00554602"/>
    <w:rsid w:val="0055626E"/>
    <w:rsid w:val="00562C71"/>
    <w:rsid w:val="005705E3"/>
    <w:rsid w:val="00575D9E"/>
    <w:rsid w:val="00591E2D"/>
    <w:rsid w:val="00596136"/>
    <w:rsid w:val="005A499A"/>
    <w:rsid w:val="005C482C"/>
    <w:rsid w:val="005E0D51"/>
    <w:rsid w:val="005E2453"/>
    <w:rsid w:val="005E3CBD"/>
    <w:rsid w:val="005F3631"/>
    <w:rsid w:val="005F3E20"/>
    <w:rsid w:val="005F3E9E"/>
    <w:rsid w:val="005F62C9"/>
    <w:rsid w:val="005F76F3"/>
    <w:rsid w:val="00601EF8"/>
    <w:rsid w:val="00605397"/>
    <w:rsid w:val="006073B2"/>
    <w:rsid w:val="0061200B"/>
    <w:rsid w:val="006175B0"/>
    <w:rsid w:val="0062368E"/>
    <w:rsid w:val="006236A1"/>
    <w:rsid w:val="00627850"/>
    <w:rsid w:val="00634D27"/>
    <w:rsid w:val="006350A6"/>
    <w:rsid w:val="006455AA"/>
    <w:rsid w:val="00645AAA"/>
    <w:rsid w:val="00651E00"/>
    <w:rsid w:val="006670C0"/>
    <w:rsid w:val="00670645"/>
    <w:rsid w:val="00670E02"/>
    <w:rsid w:val="00676E19"/>
    <w:rsid w:val="00681C37"/>
    <w:rsid w:val="00684282"/>
    <w:rsid w:val="006843E5"/>
    <w:rsid w:val="00685784"/>
    <w:rsid w:val="0069049F"/>
    <w:rsid w:val="00693975"/>
    <w:rsid w:val="00695E92"/>
    <w:rsid w:val="006A550F"/>
    <w:rsid w:val="006B14F9"/>
    <w:rsid w:val="006B2485"/>
    <w:rsid w:val="006C4CCE"/>
    <w:rsid w:val="006D4BA7"/>
    <w:rsid w:val="006D6F13"/>
    <w:rsid w:val="006E2169"/>
    <w:rsid w:val="006E2B11"/>
    <w:rsid w:val="006E2B97"/>
    <w:rsid w:val="006E603E"/>
    <w:rsid w:val="006E730D"/>
    <w:rsid w:val="006F0094"/>
    <w:rsid w:val="006F319C"/>
    <w:rsid w:val="006F393F"/>
    <w:rsid w:val="006F44BD"/>
    <w:rsid w:val="00702D5A"/>
    <w:rsid w:val="0070456E"/>
    <w:rsid w:val="007066EB"/>
    <w:rsid w:val="00706DDA"/>
    <w:rsid w:val="00711D91"/>
    <w:rsid w:val="0071326B"/>
    <w:rsid w:val="0072371B"/>
    <w:rsid w:val="0072371D"/>
    <w:rsid w:val="00724494"/>
    <w:rsid w:val="007315D6"/>
    <w:rsid w:val="00732578"/>
    <w:rsid w:val="007332A2"/>
    <w:rsid w:val="00744312"/>
    <w:rsid w:val="00751A9D"/>
    <w:rsid w:val="00752A13"/>
    <w:rsid w:val="0075368C"/>
    <w:rsid w:val="0076582F"/>
    <w:rsid w:val="00766CE3"/>
    <w:rsid w:val="00774C00"/>
    <w:rsid w:val="007779B2"/>
    <w:rsid w:val="0079049E"/>
    <w:rsid w:val="007914FE"/>
    <w:rsid w:val="007B062A"/>
    <w:rsid w:val="007B50AA"/>
    <w:rsid w:val="007B6F89"/>
    <w:rsid w:val="007C337A"/>
    <w:rsid w:val="007D210F"/>
    <w:rsid w:val="007D3FE8"/>
    <w:rsid w:val="007E011B"/>
    <w:rsid w:val="007E4EB3"/>
    <w:rsid w:val="0080321C"/>
    <w:rsid w:val="0080747A"/>
    <w:rsid w:val="008079B8"/>
    <w:rsid w:val="008103EC"/>
    <w:rsid w:val="00813D85"/>
    <w:rsid w:val="008168B7"/>
    <w:rsid w:val="00820B22"/>
    <w:rsid w:val="008225A6"/>
    <w:rsid w:val="008227BE"/>
    <w:rsid w:val="00825E32"/>
    <w:rsid w:val="00831C32"/>
    <w:rsid w:val="00837137"/>
    <w:rsid w:val="008379A6"/>
    <w:rsid w:val="00837CF0"/>
    <w:rsid w:val="00840A4C"/>
    <w:rsid w:val="00843C37"/>
    <w:rsid w:val="008441BA"/>
    <w:rsid w:val="00846215"/>
    <w:rsid w:val="00847C16"/>
    <w:rsid w:val="00851643"/>
    <w:rsid w:val="0085466C"/>
    <w:rsid w:val="00855EBC"/>
    <w:rsid w:val="00873CB1"/>
    <w:rsid w:val="008A2BC1"/>
    <w:rsid w:val="008A371F"/>
    <w:rsid w:val="008A38D9"/>
    <w:rsid w:val="008A6CF2"/>
    <w:rsid w:val="008B10F5"/>
    <w:rsid w:val="008B314D"/>
    <w:rsid w:val="008C24C7"/>
    <w:rsid w:val="008F00E6"/>
    <w:rsid w:val="008F2914"/>
    <w:rsid w:val="008F6B00"/>
    <w:rsid w:val="00910F5D"/>
    <w:rsid w:val="00940E9E"/>
    <w:rsid w:val="00954A65"/>
    <w:rsid w:val="0096221C"/>
    <w:rsid w:val="009639CF"/>
    <w:rsid w:val="009641ED"/>
    <w:rsid w:val="00965978"/>
    <w:rsid w:val="0097184D"/>
    <w:rsid w:val="00974E8F"/>
    <w:rsid w:val="0098339B"/>
    <w:rsid w:val="00983656"/>
    <w:rsid w:val="00990ED9"/>
    <w:rsid w:val="0099141A"/>
    <w:rsid w:val="009921B4"/>
    <w:rsid w:val="00994A1E"/>
    <w:rsid w:val="00994C12"/>
    <w:rsid w:val="00995BE0"/>
    <w:rsid w:val="00997A39"/>
    <w:rsid w:val="009B77C4"/>
    <w:rsid w:val="009C43A6"/>
    <w:rsid w:val="009C6690"/>
    <w:rsid w:val="009D25CD"/>
    <w:rsid w:val="009E0D60"/>
    <w:rsid w:val="009E5343"/>
    <w:rsid w:val="009E5840"/>
    <w:rsid w:val="00A028CD"/>
    <w:rsid w:val="00A044AB"/>
    <w:rsid w:val="00A045CF"/>
    <w:rsid w:val="00A072CE"/>
    <w:rsid w:val="00A125B1"/>
    <w:rsid w:val="00A27827"/>
    <w:rsid w:val="00A349CF"/>
    <w:rsid w:val="00A4303A"/>
    <w:rsid w:val="00A431DD"/>
    <w:rsid w:val="00A45EBE"/>
    <w:rsid w:val="00A4767C"/>
    <w:rsid w:val="00A50A24"/>
    <w:rsid w:val="00A558A0"/>
    <w:rsid w:val="00A55C5B"/>
    <w:rsid w:val="00A60078"/>
    <w:rsid w:val="00A63D96"/>
    <w:rsid w:val="00A70B90"/>
    <w:rsid w:val="00A71D4C"/>
    <w:rsid w:val="00A76D8C"/>
    <w:rsid w:val="00A81EE6"/>
    <w:rsid w:val="00A84EC3"/>
    <w:rsid w:val="00A94480"/>
    <w:rsid w:val="00AA0022"/>
    <w:rsid w:val="00AA2963"/>
    <w:rsid w:val="00AB1229"/>
    <w:rsid w:val="00AB3B7F"/>
    <w:rsid w:val="00AB6B52"/>
    <w:rsid w:val="00AC02DE"/>
    <w:rsid w:val="00AC0FC9"/>
    <w:rsid w:val="00AC1F13"/>
    <w:rsid w:val="00AD1464"/>
    <w:rsid w:val="00AD28E9"/>
    <w:rsid w:val="00AD7124"/>
    <w:rsid w:val="00AD77FE"/>
    <w:rsid w:val="00AE1C4A"/>
    <w:rsid w:val="00AE7559"/>
    <w:rsid w:val="00AE7696"/>
    <w:rsid w:val="00AE7AE7"/>
    <w:rsid w:val="00AF787A"/>
    <w:rsid w:val="00B0364F"/>
    <w:rsid w:val="00B036D1"/>
    <w:rsid w:val="00B04437"/>
    <w:rsid w:val="00B06113"/>
    <w:rsid w:val="00B13D59"/>
    <w:rsid w:val="00B17020"/>
    <w:rsid w:val="00B25666"/>
    <w:rsid w:val="00B40C32"/>
    <w:rsid w:val="00B4709E"/>
    <w:rsid w:val="00B52FFB"/>
    <w:rsid w:val="00B54402"/>
    <w:rsid w:val="00B57368"/>
    <w:rsid w:val="00B61839"/>
    <w:rsid w:val="00B62C65"/>
    <w:rsid w:val="00B631C1"/>
    <w:rsid w:val="00B64297"/>
    <w:rsid w:val="00B67B7D"/>
    <w:rsid w:val="00B67C41"/>
    <w:rsid w:val="00B73A97"/>
    <w:rsid w:val="00B7413A"/>
    <w:rsid w:val="00B7657C"/>
    <w:rsid w:val="00B853B8"/>
    <w:rsid w:val="00B87ED2"/>
    <w:rsid w:val="00BB1DC4"/>
    <w:rsid w:val="00BB4816"/>
    <w:rsid w:val="00BC1A79"/>
    <w:rsid w:val="00BC2355"/>
    <w:rsid w:val="00BC7EF4"/>
    <w:rsid w:val="00BD4D81"/>
    <w:rsid w:val="00BD5BB8"/>
    <w:rsid w:val="00BD6B39"/>
    <w:rsid w:val="00C00FBA"/>
    <w:rsid w:val="00C0238E"/>
    <w:rsid w:val="00C15910"/>
    <w:rsid w:val="00C17AE0"/>
    <w:rsid w:val="00C20FEC"/>
    <w:rsid w:val="00C30A6D"/>
    <w:rsid w:val="00C36C3A"/>
    <w:rsid w:val="00C41462"/>
    <w:rsid w:val="00C43FBB"/>
    <w:rsid w:val="00C6079E"/>
    <w:rsid w:val="00C61F87"/>
    <w:rsid w:val="00C62031"/>
    <w:rsid w:val="00C7570F"/>
    <w:rsid w:val="00C861E0"/>
    <w:rsid w:val="00C87730"/>
    <w:rsid w:val="00CA01B7"/>
    <w:rsid w:val="00CA3BE2"/>
    <w:rsid w:val="00CA4A04"/>
    <w:rsid w:val="00CB5E56"/>
    <w:rsid w:val="00CC55B7"/>
    <w:rsid w:val="00CD0DF7"/>
    <w:rsid w:val="00CD4384"/>
    <w:rsid w:val="00CE60B5"/>
    <w:rsid w:val="00CF0AC7"/>
    <w:rsid w:val="00D05275"/>
    <w:rsid w:val="00D07E04"/>
    <w:rsid w:val="00D10974"/>
    <w:rsid w:val="00D1310F"/>
    <w:rsid w:val="00D231E3"/>
    <w:rsid w:val="00D25426"/>
    <w:rsid w:val="00D3144F"/>
    <w:rsid w:val="00D31A9B"/>
    <w:rsid w:val="00D34288"/>
    <w:rsid w:val="00D36EFE"/>
    <w:rsid w:val="00D376E1"/>
    <w:rsid w:val="00D40BB8"/>
    <w:rsid w:val="00D4590F"/>
    <w:rsid w:val="00D47587"/>
    <w:rsid w:val="00D51CFA"/>
    <w:rsid w:val="00D51E3D"/>
    <w:rsid w:val="00D520A3"/>
    <w:rsid w:val="00D54863"/>
    <w:rsid w:val="00D553F4"/>
    <w:rsid w:val="00D60FA2"/>
    <w:rsid w:val="00D709C0"/>
    <w:rsid w:val="00D7245C"/>
    <w:rsid w:val="00D728E2"/>
    <w:rsid w:val="00D7550B"/>
    <w:rsid w:val="00D762BF"/>
    <w:rsid w:val="00D81F1B"/>
    <w:rsid w:val="00D84198"/>
    <w:rsid w:val="00D90287"/>
    <w:rsid w:val="00DA06D2"/>
    <w:rsid w:val="00DA31F3"/>
    <w:rsid w:val="00DA56A8"/>
    <w:rsid w:val="00DA7DDA"/>
    <w:rsid w:val="00DB1D5B"/>
    <w:rsid w:val="00DC0094"/>
    <w:rsid w:val="00DC0B40"/>
    <w:rsid w:val="00DC0B9C"/>
    <w:rsid w:val="00DC30EC"/>
    <w:rsid w:val="00DC6242"/>
    <w:rsid w:val="00DC6429"/>
    <w:rsid w:val="00DD2AD4"/>
    <w:rsid w:val="00DD6188"/>
    <w:rsid w:val="00DF09E9"/>
    <w:rsid w:val="00DF31E7"/>
    <w:rsid w:val="00E120AE"/>
    <w:rsid w:val="00E126E8"/>
    <w:rsid w:val="00E14D2D"/>
    <w:rsid w:val="00E1586A"/>
    <w:rsid w:val="00E1604A"/>
    <w:rsid w:val="00E16558"/>
    <w:rsid w:val="00E201F6"/>
    <w:rsid w:val="00E23307"/>
    <w:rsid w:val="00E248E2"/>
    <w:rsid w:val="00E2743D"/>
    <w:rsid w:val="00E27E01"/>
    <w:rsid w:val="00E30C7E"/>
    <w:rsid w:val="00E3231D"/>
    <w:rsid w:val="00E36DDB"/>
    <w:rsid w:val="00E36FCE"/>
    <w:rsid w:val="00E43AFB"/>
    <w:rsid w:val="00E445B4"/>
    <w:rsid w:val="00E467E3"/>
    <w:rsid w:val="00E50034"/>
    <w:rsid w:val="00E52900"/>
    <w:rsid w:val="00E53416"/>
    <w:rsid w:val="00E548A8"/>
    <w:rsid w:val="00E65831"/>
    <w:rsid w:val="00E701E6"/>
    <w:rsid w:val="00E80522"/>
    <w:rsid w:val="00E80B52"/>
    <w:rsid w:val="00E811F0"/>
    <w:rsid w:val="00E8136D"/>
    <w:rsid w:val="00E83CA6"/>
    <w:rsid w:val="00E91719"/>
    <w:rsid w:val="00E930EA"/>
    <w:rsid w:val="00E9465E"/>
    <w:rsid w:val="00E94F12"/>
    <w:rsid w:val="00EA4C7B"/>
    <w:rsid w:val="00EA5EF1"/>
    <w:rsid w:val="00EA67B6"/>
    <w:rsid w:val="00EA780F"/>
    <w:rsid w:val="00EA7AFE"/>
    <w:rsid w:val="00EB52A7"/>
    <w:rsid w:val="00EC3932"/>
    <w:rsid w:val="00EC46D6"/>
    <w:rsid w:val="00EC784E"/>
    <w:rsid w:val="00ED08AF"/>
    <w:rsid w:val="00ED21AA"/>
    <w:rsid w:val="00ED2209"/>
    <w:rsid w:val="00ED34E5"/>
    <w:rsid w:val="00ED5716"/>
    <w:rsid w:val="00EE1F79"/>
    <w:rsid w:val="00EF06A7"/>
    <w:rsid w:val="00EF07DF"/>
    <w:rsid w:val="00EF1D5D"/>
    <w:rsid w:val="00EF6D6A"/>
    <w:rsid w:val="00F02070"/>
    <w:rsid w:val="00F16939"/>
    <w:rsid w:val="00F16D14"/>
    <w:rsid w:val="00F217BE"/>
    <w:rsid w:val="00F3261B"/>
    <w:rsid w:val="00F45C28"/>
    <w:rsid w:val="00F47753"/>
    <w:rsid w:val="00F5272B"/>
    <w:rsid w:val="00F52F6F"/>
    <w:rsid w:val="00F577DB"/>
    <w:rsid w:val="00F579C6"/>
    <w:rsid w:val="00F60ABA"/>
    <w:rsid w:val="00F616F1"/>
    <w:rsid w:val="00F61EE7"/>
    <w:rsid w:val="00F62F42"/>
    <w:rsid w:val="00F62F6A"/>
    <w:rsid w:val="00F75968"/>
    <w:rsid w:val="00F7751E"/>
    <w:rsid w:val="00F854F1"/>
    <w:rsid w:val="00F857A9"/>
    <w:rsid w:val="00F86A9E"/>
    <w:rsid w:val="00F87208"/>
    <w:rsid w:val="00F902EC"/>
    <w:rsid w:val="00FA1398"/>
    <w:rsid w:val="00FA1F89"/>
    <w:rsid w:val="00FA7AFA"/>
    <w:rsid w:val="00FC27AC"/>
    <w:rsid w:val="00FD1468"/>
    <w:rsid w:val="00FE0D69"/>
    <w:rsid w:val="00FF183C"/>
    <w:rsid w:val="00FF3F5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A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pPr>
        <w:jc w:val="both"/>
      </w:pPr>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310F"/>
    <w:pPr>
      <w:spacing w:line="360" w:lineRule="auto"/>
    </w:pPr>
    <w:rPr>
      <w:rFonts w:ascii="Times New Roman" w:hAnsi="Times New Roman"/>
      <w:sz w:val="24"/>
      <w:lang w:val="en-US" w:eastAsia="en-US"/>
    </w:rPr>
  </w:style>
  <w:style w:type="paragraph" w:styleId="Ttulo1">
    <w:name w:val="heading 1"/>
    <w:basedOn w:val="Normal"/>
    <w:next w:val="Normal"/>
    <w:link w:val="Ttulo1Car"/>
    <w:uiPriority w:val="99"/>
    <w:qFormat/>
    <w:locked/>
    <w:rsid w:val="00D762BF"/>
    <w:pPr>
      <w:keepNext/>
      <w:numPr>
        <w:numId w:val="21"/>
      </w:numPr>
      <w:outlineLvl w:val="0"/>
    </w:pPr>
    <w:rPr>
      <w:rFonts w:eastAsia="Times New Roman"/>
      <w:b/>
      <w:bCs/>
      <w:kern w:val="32"/>
      <w:sz w:val="28"/>
      <w:szCs w:val="32"/>
      <w:lang w:val="es-ES"/>
    </w:rPr>
  </w:style>
  <w:style w:type="paragraph" w:styleId="Ttulo2">
    <w:name w:val="heading 2"/>
    <w:basedOn w:val="Normal"/>
    <w:next w:val="Normal"/>
    <w:link w:val="Ttulo2Car"/>
    <w:uiPriority w:val="99"/>
    <w:qFormat/>
    <w:locked/>
    <w:rsid w:val="00D762BF"/>
    <w:pPr>
      <w:keepNext/>
      <w:numPr>
        <w:ilvl w:val="1"/>
        <w:numId w:val="21"/>
      </w:numPr>
      <w:ind w:left="578" w:hanging="578"/>
      <w:outlineLvl w:val="1"/>
    </w:pPr>
    <w:rPr>
      <w:rFonts w:eastAsia="Times New Roman"/>
      <w:b/>
      <w:bCs/>
      <w:iCs/>
      <w:szCs w:val="28"/>
      <w:lang w:val="es-ES"/>
    </w:rPr>
  </w:style>
  <w:style w:type="paragraph" w:styleId="Ttulo3">
    <w:name w:val="heading 3"/>
    <w:basedOn w:val="Normal"/>
    <w:next w:val="Normal"/>
    <w:link w:val="Ttulo3Car"/>
    <w:uiPriority w:val="99"/>
    <w:qFormat/>
    <w:locked/>
    <w:rsid w:val="00C17AE0"/>
    <w:pPr>
      <w:keepNext/>
      <w:numPr>
        <w:ilvl w:val="2"/>
        <w:numId w:val="21"/>
      </w:numPr>
      <w:outlineLvl w:val="2"/>
    </w:pPr>
    <w:rPr>
      <w:rFonts w:eastAsia="Times New Roman"/>
      <w:bCs/>
      <w:szCs w:val="26"/>
    </w:rPr>
  </w:style>
  <w:style w:type="paragraph" w:styleId="Ttulo4">
    <w:name w:val="heading 4"/>
    <w:basedOn w:val="Normal"/>
    <w:next w:val="Normal"/>
    <w:link w:val="Ttulo4Car"/>
    <w:uiPriority w:val="99"/>
    <w:qFormat/>
    <w:locked/>
    <w:rsid w:val="00B67B7D"/>
    <w:pPr>
      <w:keepNext/>
      <w:numPr>
        <w:ilvl w:val="3"/>
        <w:numId w:val="21"/>
      </w:numPr>
      <w:spacing w:before="240" w:after="60"/>
      <w:outlineLvl w:val="3"/>
    </w:pPr>
    <w:rPr>
      <w:rFonts w:eastAsia="Times New Roman"/>
      <w:b/>
      <w:bCs/>
      <w:sz w:val="28"/>
      <w:szCs w:val="28"/>
    </w:rPr>
  </w:style>
  <w:style w:type="paragraph" w:styleId="Ttulo5">
    <w:name w:val="heading 5"/>
    <w:basedOn w:val="Normal"/>
    <w:next w:val="Normal"/>
    <w:link w:val="Ttulo5Car"/>
    <w:uiPriority w:val="99"/>
    <w:qFormat/>
    <w:locked/>
    <w:rsid w:val="00B67B7D"/>
    <w:pPr>
      <w:numPr>
        <w:ilvl w:val="4"/>
        <w:numId w:val="2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9"/>
    <w:qFormat/>
    <w:locked/>
    <w:rsid w:val="00B67B7D"/>
    <w:pPr>
      <w:numPr>
        <w:ilvl w:val="5"/>
        <w:numId w:val="21"/>
      </w:numPr>
      <w:spacing w:before="240" w:after="60"/>
      <w:outlineLvl w:val="5"/>
    </w:pPr>
    <w:rPr>
      <w:rFonts w:eastAsia="Times New Roman"/>
      <w:b/>
      <w:bCs/>
      <w:sz w:val="22"/>
    </w:rPr>
  </w:style>
  <w:style w:type="paragraph" w:styleId="Ttulo7">
    <w:name w:val="heading 7"/>
    <w:basedOn w:val="Normal"/>
    <w:next w:val="Normal"/>
    <w:link w:val="Ttulo7Car"/>
    <w:uiPriority w:val="99"/>
    <w:qFormat/>
    <w:locked/>
    <w:rsid w:val="00B67B7D"/>
    <w:pPr>
      <w:numPr>
        <w:ilvl w:val="6"/>
        <w:numId w:val="21"/>
      </w:numPr>
      <w:spacing w:before="240" w:after="60"/>
      <w:outlineLvl w:val="6"/>
    </w:pPr>
    <w:rPr>
      <w:rFonts w:eastAsia="Times New Roman"/>
      <w:szCs w:val="24"/>
    </w:rPr>
  </w:style>
  <w:style w:type="paragraph" w:styleId="Ttulo8">
    <w:name w:val="heading 8"/>
    <w:basedOn w:val="Normal"/>
    <w:next w:val="Normal"/>
    <w:link w:val="Ttulo8Car"/>
    <w:uiPriority w:val="99"/>
    <w:qFormat/>
    <w:locked/>
    <w:rsid w:val="00B67B7D"/>
    <w:pPr>
      <w:numPr>
        <w:ilvl w:val="7"/>
        <w:numId w:val="21"/>
      </w:numPr>
      <w:spacing w:before="240" w:after="60"/>
      <w:outlineLvl w:val="7"/>
    </w:pPr>
    <w:rPr>
      <w:rFonts w:eastAsia="Times New Roman"/>
      <w:i/>
      <w:iCs/>
      <w:szCs w:val="24"/>
    </w:rPr>
  </w:style>
  <w:style w:type="paragraph" w:styleId="Ttulo9">
    <w:name w:val="heading 9"/>
    <w:basedOn w:val="Normal"/>
    <w:next w:val="Normal"/>
    <w:link w:val="Ttulo9Car"/>
    <w:uiPriority w:val="99"/>
    <w:qFormat/>
    <w:locked/>
    <w:rsid w:val="00B67B7D"/>
    <w:pPr>
      <w:numPr>
        <w:ilvl w:val="8"/>
        <w:numId w:val="21"/>
      </w:numPr>
      <w:spacing w:before="240" w:after="60"/>
      <w:outlineLvl w:val="8"/>
    </w:pPr>
    <w:rPr>
      <w:rFonts w:ascii="Cambria" w:eastAsia="Times New Roman" w:hAnsi="Cambria"/>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762BF"/>
    <w:rPr>
      <w:rFonts w:ascii="Times New Roman" w:eastAsia="Times New Roman" w:hAnsi="Times New Roman"/>
      <w:b/>
      <w:bCs/>
      <w:kern w:val="32"/>
      <w:sz w:val="28"/>
      <w:szCs w:val="32"/>
      <w:lang w:val="es-ES" w:eastAsia="en-US"/>
    </w:rPr>
  </w:style>
  <w:style w:type="character" w:customStyle="1" w:styleId="Ttulo2Car">
    <w:name w:val="Título 2 Car"/>
    <w:basedOn w:val="Fuentedeprrafopredeter"/>
    <w:link w:val="Ttulo2"/>
    <w:uiPriority w:val="99"/>
    <w:locked/>
    <w:rsid w:val="00D762BF"/>
    <w:rPr>
      <w:rFonts w:ascii="Times New Roman" w:eastAsia="Times New Roman" w:hAnsi="Times New Roman"/>
      <w:b/>
      <w:bCs/>
      <w:iCs/>
      <w:sz w:val="24"/>
      <w:szCs w:val="28"/>
      <w:lang w:val="es-ES" w:eastAsia="en-US"/>
    </w:rPr>
  </w:style>
  <w:style w:type="character" w:customStyle="1" w:styleId="Ttulo3Car">
    <w:name w:val="Título 3 Car"/>
    <w:basedOn w:val="Fuentedeprrafopredeter"/>
    <w:link w:val="Ttulo3"/>
    <w:uiPriority w:val="99"/>
    <w:locked/>
    <w:rsid w:val="00C17AE0"/>
    <w:rPr>
      <w:rFonts w:ascii="Times New Roman" w:eastAsia="Times New Roman" w:hAnsi="Times New Roman"/>
      <w:bCs/>
      <w:sz w:val="24"/>
      <w:szCs w:val="26"/>
      <w:lang w:val="en-US" w:eastAsia="en-US"/>
    </w:rPr>
  </w:style>
  <w:style w:type="character" w:customStyle="1" w:styleId="Ttulo4Car">
    <w:name w:val="Título 4 Car"/>
    <w:basedOn w:val="Fuentedeprrafopredeter"/>
    <w:link w:val="Ttulo4"/>
    <w:uiPriority w:val="99"/>
    <w:semiHidden/>
    <w:locked/>
    <w:rsid w:val="00B67B7D"/>
    <w:rPr>
      <w:rFonts w:ascii="Calibri" w:hAnsi="Calibri" w:cs="Times New Roman"/>
      <w:b/>
      <w:bCs/>
      <w:sz w:val="28"/>
      <w:szCs w:val="28"/>
      <w:lang w:val="es-CO" w:eastAsia="en-US"/>
    </w:rPr>
  </w:style>
  <w:style w:type="character" w:customStyle="1" w:styleId="Ttulo5Car">
    <w:name w:val="Título 5 Car"/>
    <w:basedOn w:val="Fuentedeprrafopredeter"/>
    <w:link w:val="Ttulo5"/>
    <w:uiPriority w:val="99"/>
    <w:semiHidden/>
    <w:locked/>
    <w:rsid w:val="00B67B7D"/>
    <w:rPr>
      <w:rFonts w:ascii="Calibri" w:hAnsi="Calibri" w:cs="Times New Roman"/>
      <w:b/>
      <w:bCs/>
      <w:i/>
      <w:iCs/>
      <w:sz w:val="26"/>
      <w:szCs w:val="26"/>
      <w:lang w:val="es-CO" w:eastAsia="en-US"/>
    </w:rPr>
  </w:style>
  <w:style w:type="character" w:customStyle="1" w:styleId="Ttulo6Car">
    <w:name w:val="Título 6 Car"/>
    <w:basedOn w:val="Fuentedeprrafopredeter"/>
    <w:link w:val="Ttulo6"/>
    <w:uiPriority w:val="99"/>
    <w:semiHidden/>
    <w:locked/>
    <w:rsid w:val="00B67B7D"/>
    <w:rPr>
      <w:rFonts w:ascii="Calibri" w:hAnsi="Calibri" w:cs="Times New Roman"/>
      <w:b/>
      <w:bCs/>
      <w:sz w:val="22"/>
      <w:szCs w:val="22"/>
      <w:lang w:val="es-CO" w:eastAsia="en-US"/>
    </w:rPr>
  </w:style>
  <w:style w:type="character" w:customStyle="1" w:styleId="Ttulo7Car">
    <w:name w:val="Título 7 Car"/>
    <w:basedOn w:val="Fuentedeprrafopredeter"/>
    <w:link w:val="Ttulo7"/>
    <w:uiPriority w:val="99"/>
    <w:semiHidden/>
    <w:locked/>
    <w:rsid w:val="00B67B7D"/>
    <w:rPr>
      <w:rFonts w:ascii="Calibri" w:hAnsi="Calibri" w:cs="Times New Roman"/>
      <w:sz w:val="24"/>
      <w:szCs w:val="24"/>
      <w:lang w:val="es-CO" w:eastAsia="en-US"/>
    </w:rPr>
  </w:style>
  <w:style w:type="character" w:customStyle="1" w:styleId="Ttulo8Car">
    <w:name w:val="Título 8 Car"/>
    <w:basedOn w:val="Fuentedeprrafopredeter"/>
    <w:link w:val="Ttulo8"/>
    <w:uiPriority w:val="99"/>
    <w:semiHidden/>
    <w:locked/>
    <w:rsid w:val="00B67B7D"/>
    <w:rPr>
      <w:rFonts w:ascii="Calibri" w:hAnsi="Calibri" w:cs="Times New Roman"/>
      <w:i/>
      <w:iCs/>
      <w:sz w:val="24"/>
      <w:szCs w:val="24"/>
      <w:lang w:val="es-CO" w:eastAsia="en-US"/>
    </w:rPr>
  </w:style>
  <w:style w:type="character" w:customStyle="1" w:styleId="Ttulo9Car">
    <w:name w:val="Título 9 Car"/>
    <w:basedOn w:val="Fuentedeprrafopredeter"/>
    <w:link w:val="Ttulo9"/>
    <w:uiPriority w:val="99"/>
    <w:semiHidden/>
    <w:locked/>
    <w:rsid w:val="00B67B7D"/>
    <w:rPr>
      <w:rFonts w:ascii="Cambria" w:hAnsi="Cambria" w:cs="Times New Roman"/>
      <w:sz w:val="22"/>
      <w:szCs w:val="22"/>
      <w:lang w:val="es-CO" w:eastAsia="en-US"/>
    </w:rPr>
  </w:style>
  <w:style w:type="paragraph" w:styleId="Encabezado">
    <w:name w:val="header"/>
    <w:basedOn w:val="Normal"/>
    <w:link w:val="EncabezadoCar"/>
    <w:uiPriority w:val="99"/>
    <w:rsid w:val="00E80B52"/>
    <w:pPr>
      <w:tabs>
        <w:tab w:val="center" w:pos="4419"/>
        <w:tab w:val="right" w:pos="8838"/>
      </w:tabs>
    </w:pPr>
  </w:style>
  <w:style w:type="character" w:customStyle="1" w:styleId="EncabezadoCar">
    <w:name w:val="Encabezado Car"/>
    <w:basedOn w:val="Fuentedeprrafopredeter"/>
    <w:link w:val="Encabezado"/>
    <w:uiPriority w:val="99"/>
    <w:locked/>
    <w:rsid w:val="00E80B52"/>
    <w:rPr>
      <w:rFonts w:cs="Times New Roman"/>
      <w:sz w:val="24"/>
    </w:rPr>
  </w:style>
  <w:style w:type="paragraph" w:styleId="Piedepgina">
    <w:name w:val="footer"/>
    <w:basedOn w:val="Normal"/>
    <w:link w:val="PiedepginaCar"/>
    <w:uiPriority w:val="99"/>
    <w:rsid w:val="00E80B52"/>
    <w:pPr>
      <w:tabs>
        <w:tab w:val="center" w:pos="4419"/>
        <w:tab w:val="right" w:pos="8838"/>
      </w:tabs>
    </w:pPr>
  </w:style>
  <w:style w:type="character" w:customStyle="1" w:styleId="PiedepginaCar">
    <w:name w:val="Pie de página Car"/>
    <w:basedOn w:val="Fuentedeprrafopredeter"/>
    <w:link w:val="Piedepgina"/>
    <w:uiPriority w:val="99"/>
    <w:locked/>
    <w:rsid w:val="00E80B52"/>
    <w:rPr>
      <w:rFonts w:cs="Times New Roman"/>
      <w:sz w:val="24"/>
    </w:rPr>
  </w:style>
  <w:style w:type="paragraph" w:styleId="Textodeglobo">
    <w:name w:val="Balloon Text"/>
    <w:basedOn w:val="Normal"/>
    <w:link w:val="TextodegloboCar"/>
    <w:uiPriority w:val="99"/>
    <w:semiHidden/>
    <w:rsid w:val="00E80B5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80B52"/>
    <w:rPr>
      <w:rFonts w:ascii="Tahoma" w:hAnsi="Tahoma" w:cs="Tahoma"/>
      <w:sz w:val="16"/>
      <w:szCs w:val="16"/>
    </w:rPr>
  </w:style>
  <w:style w:type="paragraph" w:styleId="Prrafodelista">
    <w:name w:val="List Paragraph"/>
    <w:basedOn w:val="Normal"/>
    <w:uiPriority w:val="99"/>
    <w:qFormat/>
    <w:rsid w:val="00B4709E"/>
    <w:pPr>
      <w:ind w:left="720"/>
      <w:contextualSpacing/>
    </w:pPr>
  </w:style>
  <w:style w:type="paragraph" w:styleId="Textonotapie">
    <w:name w:val="footnote text"/>
    <w:basedOn w:val="Normal"/>
    <w:link w:val="TextonotapieCar"/>
    <w:uiPriority w:val="99"/>
    <w:semiHidden/>
    <w:rsid w:val="00EC46D6"/>
    <w:pPr>
      <w:spacing w:line="240" w:lineRule="auto"/>
    </w:pPr>
    <w:rPr>
      <w:sz w:val="20"/>
      <w:szCs w:val="20"/>
    </w:rPr>
  </w:style>
  <w:style w:type="character" w:customStyle="1" w:styleId="TextonotapieCar">
    <w:name w:val="Texto nota pie Car"/>
    <w:basedOn w:val="Fuentedeprrafopredeter"/>
    <w:link w:val="Textonotapie"/>
    <w:uiPriority w:val="99"/>
    <w:semiHidden/>
    <w:locked/>
    <w:rsid w:val="00EC46D6"/>
    <w:rPr>
      <w:rFonts w:ascii="Times New Roman" w:hAnsi="Times New Roman"/>
      <w:sz w:val="20"/>
      <w:szCs w:val="20"/>
      <w:lang w:val="en-US" w:eastAsia="en-US"/>
    </w:rPr>
  </w:style>
  <w:style w:type="character" w:styleId="Refdenotaalpie">
    <w:name w:val="footnote reference"/>
    <w:basedOn w:val="Fuentedeprrafopredeter"/>
    <w:uiPriority w:val="99"/>
    <w:semiHidden/>
    <w:rsid w:val="00E467E3"/>
    <w:rPr>
      <w:rFonts w:cs="Times New Roman"/>
      <w:vertAlign w:val="superscript"/>
    </w:rPr>
  </w:style>
  <w:style w:type="character" w:styleId="Refdecomentario">
    <w:name w:val="annotation reference"/>
    <w:basedOn w:val="Fuentedeprrafopredeter"/>
    <w:uiPriority w:val="99"/>
    <w:semiHidden/>
    <w:rsid w:val="002C0879"/>
    <w:rPr>
      <w:rFonts w:cs="Times New Roman"/>
      <w:sz w:val="16"/>
      <w:szCs w:val="16"/>
    </w:rPr>
  </w:style>
  <w:style w:type="paragraph" w:styleId="Textocomentario">
    <w:name w:val="annotation text"/>
    <w:basedOn w:val="Normal"/>
    <w:link w:val="TextocomentarioCar"/>
    <w:uiPriority w:val="99"/>
    <w:semiHidden/>
    <w:rsid w:val="002C0879"/>
    <w:rPr>
      <w:sz w:val="20"/>
      <w:szCs w:val="20"/>
    </w:rPr>
  </w:style>
  <w:style w:type="character" w:customStyle="1" w:styleId="TextocomentarioCar">
    <w:name w:val="Texto comentario Car"/>
    <w:basedOn w:val="Fuentedeprrafopredeter"/>
    <w:link w:val="Textocomentario"/>
    <w:uiPriority w:val="99"/>
    <w:semiHidden/>
    <w:locked/>
    <w:rsid w:val="002C0879"/>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C0879"/>
    <w:rPr>
      <w:b/>
      <w:bCs/>
    </w:rPr>
  </w:style>
  <w:style w:type="character" w:customStyle="1" w:styleId="AsuntodelcomentarioCar">
    <w:name w:val="Asunto del comentario Car"/>
    <w:basedOn w:val="TextocomentarioCar"/>
    <w:link w:val="Asuntodelcomentario"/>
    <w:uiPriority w:val="99"/>
    <w:semiHidden/>
    <w:locked/>
    <w:rsid w:val="002C0879"/>
    <w:rPr>
      <w:rFonts w:cs="Times New Roman"/>
      <w:b/>
      <w:bCs/>
      <w:sz w:val="20"/>
      <w:szCs w:val="20"/>
    </w:rPr>
  </w:style>
  <w:style w:type="character" w:styleId="Textoennegrita">
    <w:name w:val="Strong"/>
    <w:basedOn w:val="Fuentedeprrafopredeter"/>
    <w:uiPriority w:val="99"/>
    <w:qFormat/>
    <w:locked/>
    <w:rsid w:val="00E52900"/>
    <w:rPr>
      <w:rFonts w:cs="Times New Roman"/>
      <w:b/>
      <w:bCs/>
    </w:rPr>
  </w:style>
  <w:style w:type="character" w:customStyle="1" w:styleId="longtext">
    <w:name w:val="long_text"/>
    <w:basedOn w:val="Fuentedeprrafopredeter"/>
    <w:uiPriority w:val="99"/>
    <w:rsid w:val="007914FE"/>
    <w:rPr>
      <w:rFonts w:cs="Times New Roman"/>
    </w:rPr>
  </w:style>
  <w:style w:type="character" w:styleId="nfasis">
    <w:name w:val="Emphasis"/>
    <w:basedOn w:val="Fuentedeprrafopredeter"/>
    <w:qFormat/>
    <w:locked/>
    <w:rsid w:val="00150CBD"/>
    <w:rPr>
      <w:i/>
      <w:iCs/>
    </w:rPr>
  </w:style>
  <w:style w:type="paragraph" w:styleId="Subttulo">
    <w:name w:val="Subtitle"/>
    <w:basedOn w:val="Normal"/>
    <w:next w:val="Normal"/>
    <w:link w:val="SubttuloCar"/>
    <w:qFormat/>
    <w:locked/>
    <w:rsid w:val="00150CBD"/>
    <w:pPr>
      <w:spacing w:before="120"/>
      <w:outlineLvl w:val="0"/>
    </w:pPr>
    <w:rPr>
      <w:rFonts w:eastAsiaTheme="majorEastAsia" w:cstheme="majorBidi"/>
      <w:szCs w:val="24"/>
    </w:rPr>
  </w:style>
  <w:style w:type="character" w:customStyle="1" w:styleId="SubttuloCar">
    <w:name w:val="Subtítulo Car"/>
    <w:basedOn w:val="Fuentedeprrafopredeter"/>
    <w:link w:val="Subttulo"/>
    <w:rsid w:val="00150CBD"/>
    <w:rPr>
      <w:rFonts w:eastAsiaTheme="majorEastAsia" w:cstheme="majorBidi"/>
      <w:sz w:val="24"/>
      <w:szCs w:val="24"/>
      <w:lang w:eastAsia="en-US"/>
    </w:rPr>
  </w:style>
  <w:style w:type="paragraph" w:styleId="Ttulo">
    <w:name w:val="Title"/>
    <w:basedOn w:val="Normal"/>
    <w:next w:val="Normal"/>
    <w:link w:val="TtuloCar"/>
    <w:qFormat/>
    <w:locked/>
    <w:rsid w:val="00D762BF"/>
    <w:pPr>
      <w:spacing w:after="240"/>
      <w:contextualSpacing/>
    </w:pPr>
    <w:rPr>
      <w:rFonts w:eastAsiaTheme="majorEastAsia" w:cstheme="majorBidi"/>
      <w:b/>
      <w:bCs/>
      <w:caps/>
      <w:color w:val="231741" w:themeColor="text2" w:themeShade="BF"/>
      <w:spacing w:val="5"/>
      <w:kern w:val="28"/>
      <w:sz w:val="28"/>
      <w:szCs w:val="28"/>
    </w:rPr>
  </w:style>
  <w:style w:type="character" w:customStyle="1" w:styleId="TtuloCar">
    <w:name w:val="Título Car"/>
    <w:basedOn w:val="Fuentedeprrafopredeter"/>
    <w:link w:val="Ttulo"/>
    <w:rsid w:val="00D762BF"/>
    <w:rPr>
      <w:rFonts w:ascii="Times New Roman" w:eastAsiaTheme="majorEastAsia" w:hAnsi="Times New Roman" w:cstheme="majorBidi"/>
      <w:b/>
      <w:bCs/>
      <w:caps/>
      <w:color w:val="231741" w:themeColor="text2" w:themeShade="BF"/>
      <w:spacing w:val="5"/>
      <w:kern w:val="28"/>
      <w:sz w:val="28"/>
      <w:szCs w:val="28"/>
      <w:lang w:val="en-US" w:eastAsia="en-US"/>
    </w:rPr>
  </w:style>
  <w:style w:type="paragraph" w:styleId="Bibliografa">
    <w:name w:val="Bibliography"/>
    <w:basedOn w:val="Normal"/>
    <w:next w:val="Normal"/>
    <w:uiPriority w:val="37"/>
    <w:unhideWhenUsed/>
    <w:rsid w:val="00A4767C"/>
    <w:pPr>
      <w:spacing w:line="480" w:lineRule="auto"/>
      <w:ind w:left="720" w:hanging="720"/>
    </w:pPr>
  </w:style>
  <w:style w:type="paragraph" w:customStyle="1" w:styleId="Abstract">
    <w:name w:val="Abstract"/>
    <w:basedOn w:val="Normal"/>
    <w:qFormat/>
    <w:rsid w:val="006B14F9"/>
    <w:pPr>
      <w:ind w:left="851" w:right="851"/>
    </w:pPr>
    <w:rPr>
      <w:sz w:val="20"/>
    </w:rPr>
  </w:style>
  <w:style w:type="character" w:customStyle="1" w:styleId="hps">
    <w:name w:val="hps"/>
    <w:basedOn w:val="Fuentedeprrafopredeter"/>
    <w:rsid w:val="00197020"/>
  </w:style>
  <w:style w:type="character" w:styleId="Refdenotaalfinal">
    <w:name w:val="endnote reference"/>
    <w:basedOn w:val="Fuentedeprrafopredeter"/>
    <w:uiPriority w:val="99"/>
    <w:semiHidden/>
    <w:unhideWhenUsed/>
    <w:rsid w:val="002A542E"/>
    <w:rPr>
      <w:vertAlign w:val="superscript"/>
    </w:rPr>
  </w:style>
  <w:style w:type="character" w:styleId="Textodelmarcadordeposicin">
    <w:name w:val="Placeholder Text"/>
    <w:basedOn w:val="Fuentedeprrafopredeter"/>
    <w:uiPriority w:val="99"/>
    <w:semiHidden/>
    <w:rsid w:val="00E930EA"/>
    <w:rPr>
      <w:color w:val="808080"/>
    </w:rPr>
  </w:style>
  <w:style w:type="table" w:styleId="Tablaconcuadrcula">
    <w:name w:val="Table Grid"/>
    <w:basedOn w:val="Tablanormal"/>
    <w:uiPriority w:val="59"/>
    <w:locked/>
    <w:rsid w:val="000B7A97"/>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B7A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pPr>
        <w:jc w:val="both"/>
      </w:pPr>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310F"/>
    <w:pPr>
      <w:spacing w:line="360" w:lineRule="auto"/>
    </w:pPr>
    <w:rPr>
      <w:rFonts w:ascii="Times New Roman" w:hAnsi="Times New Roman"/>
      <w:sz w:val="24"/>
      <w:lang w:val="en-US" w:eastAsia="en-US"/>
    </w:rPr>
  </w:style>
  <w:style w:type="paragraph" w:styleId="Ttulo1">
    <w:name w:val="heading 1"/>
    <w:basedOn w:val="Normal"/>
    <w:next w:val="Normal"/>
    <w:link w:val="Ttulo1Car"/>
    <w:uiPriority w:val="99"/>
    <w:qFormat/>
    <w:locked/>
    <w:rsid w:val="00D762BF"/>
    <w:pPr>
      <w:keepNext/>
      <w:numPr>
        <w:numId w:val="21"/>
      </w:numPr>
      <w:outlineLvl w:val="0"/>
    </w:pPr>
    <w:rPr>
      <w:rFonts w:eastAsia="Times New Roman"/>
      <w:b/>
      <w:bCs/>
      <w:kern w:val="32"/>
      <w:sz w:val="28"/>
      <w:szCs w:val="32"/>
      <w:lang w:val="es-ES"/>
    </w:rPr>
  </w:style>
  <w:style w:type="paragraph" w:styleId="Ttulo2">
    <w:name w:val="heading 2"/>
    <w:basedOn w:val="Normal"/>
    <w:next w:val="Normal"/>
    <w:link w:val="Ttulo2Car"/>
    <w:uiPriority w:val="99"/>
    <w:qFormat/>
    <w:locked/>
    <w:rsid w:val="00D762BF"/>
    <w:pPr>
      <w:keepNext/>
      <w:numPr>
        <w:ilvl w:val="1"/>
        <w:numId w:val="21"/>
      </w:numPr>
      <w:ind w:left="578" w:hanging="578"/>
      <w:outlineLvl w:val="1"/>
    </w:pPr>
    <w:rPr>
      <w:rFonts w:eastAsia="Times New Roman"/>
      <w:b/>
      <w:bCs/>
      <w:iCs/>
      <w:szCs w:val="28"/>
      <w:lang w:val="es-ES"/>
    </w:rPr>
  </w:style>
  <w:style w:type="paragraph" w:styleId="Ttulo3">
    <w:name w:val="heading 3"/>
    <w:basedOn w:val="Normal"/>
    <w:next w:val="Normal"/>
    <w:link w:val="Ttulo3Car"/>
    <w:uiPriority w:val="99"/>
    <w:qFormat/>
    <w:locked/>
    <w:rsid w:val="00C17AE0"/>
    <w:pPr>
      <w:keepNext/>
      <w:numPr>
        <w:ilvl w:val="2"/>
        <w:numId w:val="21"/>
      </w:numPr>
      <w:outlineLvl w:val="2"/>
    </w:pPr>
    <w:rPr>
      <w:rFonts w:eastAsia="Times New Roman"/>
      <w:bCs/>
      <w:szCs w:val="26"/>
    </w:rPr>
  </w:style>
  <w:style w:type="paragraph" w:styleId="Ttulo4">
    <w:name w:val="heading 4"/>
    <w:basedOn w:val="Normal"/>
    <w:next w:val="Normal"/>
    <w:link w:val="Ttulo4Car"/>
    <w:uiPriority w:val="99"/>
    <w:qFormat/>
    <w:locked/>
    <w:rsid w:val="00B67B7D"/>
    <w:pPr>
      <w:keepNext/>
      <w:numPr>
        <w:ilvl w:val="3"/>
        <w:numId w:val="21"/>
      </w:numPr>
      <w:spacing w:before="240" w:after="60"/>
      <w:outlineLvl w:val="3"/>
    </w:pPr>
    <w:rPr>
      <w:rFonts w:eastAsia="Times New Roman"/>
      <w:b/>
      <w:bCs/>
      <w:sz w:val="28"/>
      <w:szCs w:val="28"/>
    </w:rPr>
  </w:style>
  <w:style w:type="paragraph" w:styleId="Ttulo5">
    <w:name w:val="heading 5"/>
    <w:basedOn w:val="Normal"/>
    <w:next w:val="Normal"/>
    <w:link w:val="Ttulo5Car"/>
    <w:uiPriority w:val="99"/>
    <w:qFormat/>
    <w:locked/>
    <w:rsid w:val="00B67B7D"/>
    <w:pPr>
      <w:numPr>
        <w:ilvl w:val="4"/>
        <w:numId w:val="2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9"/>
    <w:qFormat/>
    <w:locked/>
    <w:rsid w:val="00B67B7D"/>
    <w:pPr>
      <w:numPr>
        <w:ilvl w:val="5"/>
        <w:numId w:val="21"/>
      </w:numPr>
      <w:spacing w:before="240" w:after="60"/>
      <w:outlineLvl w:val="5"/>
    </w:pPr>
    <w:rPr>
      <w:rFonts w:eastAsia="Times New Roman"/>
      <w:b/>
      <w:bCs/>
      <w:sz w:val="22"/>
    </w:rPr>
  </w:style>
  <w:style w:type="paragraph" w:styleId="Ttulo7">
    <w:name w:val="heading 7"/>
    <w:basedOn w:val="Normal"/>
    <w:next w:val="Normal"/>
    <w:link w:val="Ttulo7Car"/>
    <w:uiPriority w:val="99"/>
    <w:qFormat/>
    <w:locked/>
    <w:rsid w:val="00B67B7D"/>
    <w:pPr>
      <w:numPr>
        <w:ilvl w:val="6"/>
        <w:numId w:val="21"/>
      </w:numPr>
      <w:spacing w:before="240" w:after="60"/>
      <w:outlineLvl w:val="6"/>
    </w:pPr>
    <w:rPr>
      <w:rFonts w:eastAsia="Times New Roman"/>
      <w:szCs w:val="24"/>
    </w:rPr>
  </w:style>
  <w:style w:type="paragraph" w:styleId="Ttulo8">
    <w:name w:val="heading 8"/>
    <w:basedOn w:val="Normal"/>
    <w:next w:val="Normal"/>
    <w:link w:val="Ttulo8Car"/>
    <w:uiPriority w:val="99"/>
    <w:qFormat/>
    <w:locked/>
    <w:rsid w:val="00B67B7D"/>
    <w:pPr>
      <w:numPr>
        <w:ilvl w:val="7"/>
        <w:numId w:val="21"/>
      </w:numPr>
      <w:spacing w:before="240" w:after="60"/>
      <w:outlineLvl w:val="7"/>
    </w:pPr>
    <w:rPr>
      <w:rFonts w:eastAsia="Times New Roman"/>
      <w:i/>
      <w:iCs/>
      <w:szCs w:val="24"/>
    </w:rPr>
  </w:style>
  <w:style w:type="paragraph" w:styleId="Ttulo9">
    <w:name w:val="heading 9"/>
    <w:basedOn w:val="Normal"/>
    <w:next w:val="Normal"/>
    <w:link w:val="Ttulo9Car"/>
    <w:uiPriority w:val="99"/>
    <w:qFormat/>
    <w:locked/>
    <w:rsid w:val="00B67B7D"/>
    <w:pPr>
      <w:numPr>
        <w:ilvl w:val="8"/>
        <w:numId w:val="21"/>
      </w:numPr>
      <w:spacing w:before="240" w:after="60"/>
      <w:outlineLvl w:val="8"/>
    </w:pPr>
    <w:rPr>
      <w:rFonts w:ascii="Cambria" w:eastAsia="Times New Roman" w:hAnsi="Cambria"/>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762BF"/>
    <w:rPr>
      <w:rFonts w:ascii="Times New Roman" w:eastAsia="Times New Roman" w:hAnsi="Times New Roman"/>
      <w:b/>
      <w:bCs/>
      <w:kern w:val="32"/>
      <w:sz w:val="28"/>
      <w:szCs w:val="32"/>
      <w:lang w:val="es-ES" w:eastAsia="en-US"/>
    </w:rPr>
  </w:style>
  <w:style w:type="character" w:customStyle="1" w:styleId="Ttulo2Car">
    <w:name w:val="Título 2 Car"/>
    <w:basedOn w:val="Fuentedeprrafopredeter"/>
    <w:link w:val="Ttulo2"/>
    <w:uiPriority w:val="99"/>
    <w:locked/>
    <w:rsid w:val="00D762BF"/>
    <w:rPr>
      <w:rFonts w:ascii="Times New Roman" w:eastAsia="Times New Roman" w:hAnsi="Times New Roman"/>
      <w:b/>
      <w:bCs/>
      <w:iCs/>
      <w:sz w:val="24"/>
      <w:szCs w:val="28"/>
      <w:lang w:val="es-ES" w:eastAsia="en-US"/>
    </w:rPr>
  </w:style>
  <w:style w:type="character" w:customStyle="1" w:styleId="Ttulo3Car">
    <w:name w:val="Título 3 Car"/>
    <w:basedOn w:val="Fuentedeprrafopredeter"/>
    <w:link w:val="Ttulo3"/>
    <w:uiPriority w:val="99"/>
    <w:locked/>
    <w:rsid w:val="00C17AE0"/>
    <w:rPr>
      <w:rFonts w:ascii="Times New Roman" w:eastAsia="Times New Roman" w:hAnsi="Times New Roman"/>
      <w:bCs/>
      <w:sz w:val="24"/>
      <w:szCs w:val="26"/>
      <w:lang w:val="en-US" w:eastAsia="en-US"/>
    </w:rPr>
  </w:style>
  <w:style w:type="character" w:customStyle="1" w:styleId="Ttulo4Car">
    <w:name w:val="Título 4 Car"/>
    <w:basedOn w:val="Fuentedeprrafopredeter"/>
    <w:link w:val="Ttulo4"/>
    <w:uiPriority w:val="99"/>
    <w:semiHidden/>
    <w:locked/>
    <w:rsid w:val="00B67B7D"/>
    <w:rPr>
      <w:rFonts w:ascii="Calibri" w:hAnsi="Calibri" w:cs="Times New Roman"/>
      <w:b/>
      <w:bCs/>
      <w:sz w:val="28"/>
      <w:szCs w:val="28"/>
      <w:lang w:val="es-CO" w:eastAsia="en-US"/>
    </w:rPr>
  </w:style>
  <w:style w:type="character" w:customStyle="1" w:styleId="Ttulo5Car">
    <w:name w:val="Título 5 Car"/>
    <w:basedOn w:val="Fuentedeprrafopredeter"/>
    <w:link w:val="Ttulo5"/>
    <w:uiPriority w:val="99"/>
    <w:semiHidden/>
    <w:locked/>
    <w:rsid w:val="00B67B7D"/>
    <w:rPr>
      <w:rFonts w:ascii="Calibri" w:hAnsi="Calibri" w:cs="Times New Roman"/>
      <w:b/>
      <w:bCs/>
      <w:i/>
      <w:iCs/>
      <w:sz w:val="26"/>
      <w:szCs w:val="26"/>
      <w:lang w:val="es-CO" w:eastAsia="en-US"/>
    </w:rPr>
  </w:style>
  <w:style w:type="character" w:customStyle="1" w:styleId="Ttulo6Car">
    <w:name w:val="Título 6 Car"/>
    <w:basedOn w:val="Fuentedeprrafopredeter"/>
    <w:link w:val="Ttulo6"/>
    <w:uiPriority w:val="99"/>
    <w:semiHidden/>
    <w:locked/>
    <w:rsid w:val="00B67B7D"/>
    <w:rPr>
      <w:rFonts w:ascii="Calibri" w:hAnsi="Calibri" w:cs="Times New Roman"/>
      <w:b/>
      <w:bCs/>
      <w:sz w:val="22"/>
      <w:szCs w:val="22"/>
      <w:lang w:val="es-CO" w:eastAsia="en-US"/>
    </w:rPr>
  </w:style>
  <w:style w:type="character" w:customStyle="1" w:styleId="Ttulo7Car">
    <w:name w:val="Título 7 Car"/>
    <w:basedOn w:val="Fuentedeprrafopredeter"/>
    <w:link w:val="Ttulo7"/>
    <w:uiPriority w:val="99"/>
    <w:semiHidden/>
    <w:locked/>
    <w:rsid w:val="00B67B7D"/>
    <w:rPr>
      <w:rFonts w:ascii="Calibri" w:hAnsi="Calibri" w:cs="Times New Roman"/>
      <w:sz w:val="24"/>
      <w:szCs w:val="24"/>
      <w:lang w:val="es-CO" w:eastAsia="en-US"/>
    </w:rPr>
  </w:style>
  <w:style w:type="character" w:customStyle="1" w:styleId="Ttulo8Car">
    <w:name w:val="Título 8 Car"/>
    <w:basedOn w:val="Fuentedeprrafopredeter"/>
    <w:link w:val="Ttulo8"/>
    <w:uiPriority w:val="99"/>
    <w:semiHidden/>
    <w:locked/>
    <w:rsid w:val="00B67B7D"/>
    <w:rPr>
      <w:rFonts w:ascii="Calibri" w:hAnsi="Calibri" w:cs="Times New Roman"/>
      <w:i/>
      <w:iCs/>
      <w:sz w:val="24"/>
      <w:szCs w:val="24"/>
      <w:lang w:val="es-CO" w:eastAsia="en-US"/>
    </w:rPr>
  </w:style>
  <w:style w:type="character" w:customStyle="1" w:styleId="Ttulo9Car">
    <w:name w:val="Título 9 Car"/>
    <w:basedOn w:val="Fuentedeprrafopredeter"/>
    <w:link w:val="Ttulo9"/>
    <w:uiPriority w:val="99"/>
    <w:semiHidden/>
    <w:locked/>
    <w:rsid w:val="00B67B7D"/>
    <w:rPr>
      <w:rFonts w:ascii="Cambria" w:hAnsi="Cambria" w:cs="Times New Roman"/>
      <w:sz w:val="22"/>
      <w:szCs w:val="22"/>
      <w:lang w:val="es-CO" w:eastAsia="en-US"/>
    </w:rPr>
  </w:style>
  <w:style w:type="paragraph" w:styleId="Encabezado">
    <w:name w:val="header"/>
    <w:basedOn w:val="Normal"/>
    <w:link w:val="EncabezadoCar"/>
    <w:uiPriority w:val="99"/>
    <w:rsid w:val="00E80B52"/>
    <w:pPr>
      <w:tabs>
        <w:tab w:val="center" w:pos="4419"/>
        <w:tab w:val="right" w:pos="8838"/>
      </w:tabs>
    </w:pPr>
  </w:style>
  <w:style w:type="character" w:customStyle="1" w:styleId="EncabezadoCar">
    <w:name w:val="Encabezado Car"/>
    <w:basedOn w:val="Fuentedeprrafopredeter"/>
    <w:link w:val="Encabezado"/>
    <w:uiPriority w:val="99"/>
    <w:locked/>
    <w:rsid w:val="00E80B52"/>
    <w:rPr>
      <w:rFonts w:cs="Times New Roman"/>
      <w:sz w:val="24"/>
    </w:rPr>
  </w:style>
  <w:style w:type="paragraph" w:styleId="Piedepgina">
    <w:name w:val="footer"/>
    <w:basedOn w:val="Normal"/>
    <w:link w:val="PiedepginaCar"/>
    <w:uiPriority w:val="99"/>
    <w:rsid w:val="00E80B52"/>
    <w:pPr>
      <w:tabs>
        <w:tab w:val="center" w:pos="4419"/>
        <w:tab w:val="right" w:pos="8838"/>
      </w:tabs>
    </w:pPr>
  </w:style>
  <w:style w:type="character" w:customStyle="1" w:styleId="PiedepginaCar">
    <w:name w:val="Pie de página Car"/>
    <w:basedOn w:val="Fuentedeprrafopredeter"/>
    <w:link w:val="Piedepgina"/>
    <w:uiPriority w:val="99"/>
    <w:locked/>
    <w:rsid w:val="00E80B52"/>
    <w:rPr>
      <w:rFonts w:cs="Times New Roman"/>
      <w:sz w:val="24"/>
    </w:rPr>
  </w:style>
  <w:style w:type="paragraph" w:styleId="Textodeglobo">
    <w:name w:val="Balloon Text"/>
    <w:basedOn w:val="Normal"/>
    <w:link w:val="TextodegloboCar"/>
    <w:uiPriority w:val="99"/>
    <w:semiHidden/>
    <w:rsid w:val="00E80B5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80B52"/>
    <w:rPr>
      <w:rFonts w:ascii="Tahoma" w:hAnsi="Tahoma" w:cs="Tahoma"/>
      <w:sz w:val="16"/>
      <w:szCs w:val="16"/>
    </w:rPr>
  </w:style>
  <w:style w:type="paragraph" w:styleId="Prrafodelista">
    <w:name w:val="List Paragraph"/>
    <w:basedOn w:val="Normal"/>
    <w:uiPriority w:val="99"/>
    <w:qFormat/>
    <w:rsid w:val="00B4709E"/>
    <w:pPr>
      <w:ind w:left="720"/>
      <w:contextualSpacing/>
    </w:pPr>
  </w:style>
  <w:style w:type="paragraph" w:styleId="Textonotapie">
    <w:name w:val="footnote text"/>
    <w:basedOn w:val="Normal"/>
    <w:link w:val="TextonotapieCar"/>
    <w:uiPriority w:val="99"/>
    <w:semiHidden/>
    <w:rsid w:val="00EC46D6"/>
    <w:pPr>
      <w:spacing w:line="240" w:lineRule="auto"/>
    </w:pPr>
    <w:rPr>
      <w:sz w:val="20"/>
      <w:szCs w:val="20"/>
    </w:rPr>
  </w:style>
  <w:style w:type="character" w:customStyle="1" w:styleId="TextonotapieCar">
    <w:name w:val="Texto nota pie Car"/>
    <w:basedOn w:val="Fuentedeprrafopredeter"/>
    <w:link w:val="Textonotapie"/>
    <w:uiPriority w:val="99"/>
    <w:semiHidden/>
    <w:locked/>
    <w:rsid w:val="00EC46D6"/>
    <w:rPr>
      <w:rFonts w:ascii="Times New Roman" w:hAnsi="Times New Roman"/>
      <w:sz w:val="20"/>
      <w:szCs w:val="20"/>
      <w:lang w:val="en-US" w:eastAsia="en-US"/>
    </w:rPr>
  </w:style>
  <w:style w:type="character" w:styleId="Refdenotaalpie">
    <w:name w:val="footnote reference"/>
    <w:basedOn w:val="Fuentedeprrafopredeter"/>
    <w:uiPriority w:val="99"/>
    <w:semiHidden/>
    <w:rsid w:val="00E467E3"/>
    <w:rPr>
      <w:rFonts w:cs="Times New Roman"/>
      <w:vertAlign w:val="superscript"/>
    </w:rPr>
  </w:style>
  <w:style w:type="character" w:styleId="Refdecomentario">
    <w:name w:val="annotation reference"/>
    <w:basedOn w:val="Fuentedeprrafopredeter"/>
    <w:uiPriority w:val="99"/>
    <w:semiHidden/>
    <w:rsid w:val="002C0879"/>
    <w:rPr>
      <w:rFonts w:cs="Times New Roman"/>
      <w:sz w:val="16"/>
      <w:szCs w:val="16"/>
    </w:rPr>
  </w:style>
  <w:style w:type="paragraph" w:styleId="Textocomentario">
    <w:name w:val="annotation text"/>
    <w:basedOn w:val="Normal"/>
    <w:link w:val="TextocomentarioCar"/>
    <w:uiPriority w:val="99"/>
    <w:semiHidden/>
    <w:rsid w:val="002C0879"/>
    <w:rPr>
      <w:sz w:val="20"/>
      <w:szCs w:val="20"/>
    </w:rPr>
  </w:style>
  <w:style w:type="character" w:customStyle="1" w:styleId="TextocomentarioCar">
    <w:name w:val="Texto comentario Car"/>
    <w:basedOn w:val="Fuentedeprrafopredeter"/>
    <w:link w:val="Textocomentario"/>
    <w:uiPriority w:val="99"/>
    <w:semiHidden/>
    <w:locked/>
    <w:rsid w:val="002C0879"/>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C0879"/>
    <w:rPr>
      <w:b/>
      <w:bCs/>
    </w:rPr>
  </w:style>
  <w:style w:type="character" w:customStyle="1" w:styleId="AsuntodelcomentarioCar">
    <w:name w:val="Asunto del comentario Car"/>
    <w:basedOn w:val="TextocomentarioCar"/>
    <w:link w:val="Asuntodelcomentario"/>
    <w:uiPriority w:val="99"/>
    <w:semiHidden/>
    <w:locked/>
    <w:rsid w:val="002C0879"/>
    <w:rPr>
      <w:rFonts w:cs="Times New Roman"/>
      <w:b/>
      <w:bCs/>
      <w:sz w:val="20"/>
      <w:szCs w:val="20"/>
    </w:rPr>
  </w:style>
  <w:style w:type="character" w:styleId="Textoennegrita">
    <w:name w:val="Strong"/>
    <w:basedOn w:val="Fuentedeprrafopredeter"/>
    <w:uiPriority w:val="99"/>
    <w:qFormat/>
    <w:locked/>
    <w:rsid w:val="00E52900"/>
    <w:rPr>
      <w:rFonts w:cs="Times New Roman"/>
      <w:b/>
      <w:bCs/>
    </w:rPr>
  </w:style>
  <w:style w:type="character" w:customStyle="1" w:styleId="longtext">
    <w:name w:val="long_text"/>
    <w:basedOn w:val="Fuentedeprrafopredeter"/>
    <w:uiPriority w:val="99"/>
    <w:rsid w:val="007914FE"/>
    <w:rPr>
      <w:rFonts w:cs="Times New Roman"/>
    </w:rPr>
  </w:style>
  <w:style w:type="character" w:styleId="nfasis">
    <w:name w:val="Emphasis"/>
    <w:basedOn w:val="Fuentedeprrafopredeter"/>
    <w:qFormat/>
    <w:locked/>
    <w:rsid w:val="00150CBD"/>
    <w:rPr>
      <w:i/>
      <w:iCs/>
    </w:rPr>
  </w:style>
  <w:style w:type="paragraph" w:styleId="Subttulo">
    <w:name w:val="Subtitle"/>
    <w:basedOn w:val="Normal"/>
    <w:next w:val="Normal"/>
    <w:link w:val="SubttuloCar"/>
    <w:qFormat/>
    <w:locked/>
    <w:rsid w:val="00150CBD"/>
    <w:pPr>
      <w:spacing w:before="120"/>
      <w:outlineLvl w:val="0"/>
    </w:pPr>
    <w:rPr>
      <w:rFonts w:eastAsiaTheme="majorEastAsia" w:cstheme="majorBidi"/>
      <w:szCs w:val="24"/>
    </w:rPr>
  </w:style>
  <w:style w:type="character" w:customStyle="1" w:styleId="SubttuloCar">
    <w:name w:val="Subtítulo Car"/>
    <w:basedOn w:val="Fuentedeprrafopredeter"/>
    <w:link w:val="Subttulo"/>
    <w:rsid w:val="00150CBD"/>
    <w:rPr>
      <w:rFonts w:eastAsiaTheme="majorEastAsia" w:cstheme="majorBidi"/>
      <w:sz w:val="24"/>
      <w:szCs w:val="24"/>
      <w:lang w:eastAsia="en-US"/>
    </w:rPr>
  </w:style>
  <w:style w:type="paragraph" w:styleId="Ttulo">
    <w:name w:val="Title"/>
    <w:basedOn w:val="Normal"/>
    <w:next w:val="Normal"/>
    <w:link w:val="TtuloCar"/>
    <w:qFormat/>
    <w:locked/>
    <w:rsid w:val="00D762BF"/>
    <w:pPr>
      <w:spacing w:after="240"/>
      <w:contextualSpacing/>
    </w:pPr>
    <w:rPr>
      <w:rFonts w:eastAsiaTheme="majorEastAsia" w:cstheme="majorBidi"/>
      <w:b/>
      <w:bCs/>
      <w:caps/>
      <w:color w:val="231741" w:themeColor="text2" w:themeShade="BF"/>
      <w:spacing w:val="5"/>
      <w:kern w:val="28"/>
      <w:sz w:val="28"/>
      <w:szCs w:val="28"/>
    </w:rPr>
  </w:style>
  <w:style w:type="character" w:customStyle="1" w:styleId="TtuloCar">
    <w:name w:val="Título Car"/>
    <w:basedOn w:val="Fuentedeprrafopredeter"/>
    <w:link w:val="Ttulo"/>
    <w:rsid w:val="00D762BF"/>
    <w:rPr>
      <w:rFonts w:ascii="Times New Roman" w:eastAsiaTheme="majorEastAsia" w:hAnsi="Times New Roman" w:cstheme="majorBidi"/>
      <w:b/>
      <w:bCs/>
      <w:caps/>
      <w:color w:val="231741" w:themeColor="text2" w:themeShade="BF"/>
      <w:spacing w:val="5"/>
      <w:kern w:val="28"/>
      <w:sz w:val="28"/>
      <w:szCs w:val="28"/>
      <w:lang w:val="en-US" w:eastAsia="en-US"/>
    </w:rPr>
  </w:style>
  <w:style w:type="paragraph" w:styleId="Bibliografa">
    <w:name w:val="Bibliography"/>
    <w:basedOn w:val="Normal"/>
    <w:next w:val="Normal"/>
    <w:uiPriority w:val="37"/>
    <w:unhideWhenUsed/>
    <w:rsid w:val="00A4767C"/>
    <w:pPr>
      <w:spacing w:line="480" w:lineRule="auto"/>
      <w:ind w:left="720" w:hanging="720"/>
    </w:pPr>
  </w:style>
  <w:style w:type="paragraph" w:customStyle="1" w:styleId="Abstract">
    <w:name w:val="Abstract"/>
    <w:basedOn w:val="Normal"/>
    <w:qFormat/>
    <w:rsid w:val="006B14F9"/>
    <w:pPr>
      <w:ind w:left="851" w:right="851"/>
    </w:pPr>
    <w:rPr>
      <w:sz w:val="20"/>
    </w:rPr>
  </w:style>
  <w:style w:type="character" w:customStyle="1" w:styleId="hps">
    <w:name w:val="hps"/>
    <w:basedOn w:val="Fuentedeprrafopredeter"/>
    <w:rsid w:val="00197020"/>
  </w:style>
  <w:style w:type="character" w:styleId="Refdenotaalfinal">
    <w:name w:val="endnote reference"/>
    <w:basedOn w:val="Fuentedeprrafopredeter"/>
    <w:uiPriority w:val="99"/>
    <w:semiHidden/>
    <w:unhideWhenUsed/>
    <w:rsid w:val="002A542E"/>
    <w:rPr>
      <w:vertAlign w:val="superscript"/>
    </w:rPr>
  </w:style>
  <w:style w:type="character" w:styleId="Textodelmarcadordeposicin">
    <w:name w:val="Placeholder Text"/>
    <w:basedOn w:val="Fuentedeprrafopredeter"/>
    <w:uiPriority w:val="99"/>
    <w:semiHidden/>
    <w:rsid w:val="00E930EA"/>
    <w:rPr>
      <w:color w:val="808080"/>
    </w:rPr>
  </w:style>
  <w:style w:type="table" w:styleId="Tablaconcuadrcula">
    <w:name w:val="Table Grid"/>
    <w:basedOn w:val="Tablanormal"/>
    <w:uiPriority w:val="59"/>
    <w:locked/>
    <w:rsid w:val="000B7A97"/>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B7A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960">
      <w:bodyDiv w:val="1"/>
      <w:marLeft w:val="0"/>
      <w:marRight w:val="0"/>
      <w:marTop w:val="0"/>
      <w:marBottom w:val="0"/>
      <w:divBdr>
        <w:top w:val="none" w:sz="0" w:space="0" w:color="auto"/>
        <w:left w:val="none" w:sz="0" w:space="0" w:color="auto"/>
        <w:bottom w:val="none" w:sz="0" w:space="0" w:color="auto"/>
        <w:right w:val="none" w:sz="0" w:space="0" w:color="auto"/>
      </w:divBdr>
    </w:div>
    <w:div w:id="1945381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w.rosso20\AppData\Roaming\Microsoft\Plantillas\Uniandes_EN.dotm"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Infusion">
  <a:themeElements>
    <a:clrScheme name="Infusion">
      <a:dk1>
        <a:sysClr val="windowText" lastClr="000000"/>
      </a:dk1>
      <a:lt1>
        <a:sysClr val="window" lastClr="FFFFFF"/>
      </a:lt1>
      <a:dk2>
        <a:srgbClr val="2F1F58"/>
      </a:dk2>
      <a:lt2>
        <a:srgbClr val="B7A9E0"/>
      </a:lt2>
      <a:accent1>
        <a:srgbClr val="8C73D0"/>
      </a:accent1>
      <a:accent2>
        <a:srgbClr val="C2E8C4"/>
      </a:accent2>
      <a:accent3>
        <a:srgbClr val="C5A6E8"/>
      </a:accent3>
      <a:accent4>
        <a:srgbClr val="B45EC7"/>
      </a:accent4>
      <a:accent5>
        <a:srgbClr val="9FDAFB"/>
      </a:accent5>
      <a:accent6>
        <a:srgbClr val="95C5B0"/>
      </a:accent6>
      <a:hlink>
        <a:srgbClr val="744AE0"/>
      </a:hlink>
      <a:folHlink>
        <a:srgbClr val="8D8AD1"/>
      </a:folHlink>
    </a:clrScheme>
    <a:fontScheme name="Infusion">
      <a:majorFont>
        <a:latin typeface="Mistral"/>
        <a:ea typeface=""/>
        <a:cs typeface=""/>
        <a:font script="Jpan" typeface="ＤＦＰ行書体"/>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Infusion">
      <a:fillStyleLst>
        <a:solidFill>
          <a:schemeClr val="phClr"/>
        </a:solidFill>
        <a:blipFill rotWithShape="1">
          <a:blip xmlns:r="http://schemas.openxmlformats.org/officeDocument/2006/relationships" r:embed="rId1">
            <a:duotone>
              <a:schemeClr val="phClr">
                <a:shade val="70000"/>
                <a:satMod val="120000"/>
              </a:schemeClr>
              <a:schemeClr val="phClr">
                <a:tint val="70000"/>
                <a:satMod val="300000"/>
                <a:lumMod val="125000"/>
              </a:schemeClr>
            </a:duotone>
          </a:blip>
          <a:tile tx="0" ty="0" sx="50000" sy="50000" flip="none" algn="tl"/>
        </a:blipFill>
        <a:blipFill rotWithShape="1">
          <a:blip xmlns:r="http://schemas.openxmlformats.org/officeDocument/2006/relationships" r:embed="rId2">
            <a:duotone>
              <a:schemeClr val="phClr">
                <a:shade val="70000"/>
                <a:satMod val="120000"/>
              </a:schemeClr>
              <a:schemeClr val="phClr">
                <a:tint val="70000"/>
                <a:satMod val="135000"/>
              </a:schemeClr>
            </a:duotone>
          </a:blip>
          <a:tile tx="0" ty="0" sx="40000" sy="40000" flip="none" algn="tl"/>
        </a:blipFill>
      </a:fillStyleLst>
      <a:lnStyleLst>
        <a:ln w="38100" cap="flat" cmpd="sng" algn="ctr">
          <a:solidFill>
            <a:schemeClr val="phClr">
              <a:alpha val="70000"/>
              <a:satMod val="105000"/>
            </a:schemeClr>
          </a:solidFill>
          <a:prstDash val="solid"/>
          <a:miter/>
        </a:ln>
        <a:ln w="50800" cap="flat" cmpd="sng" algn="ctr">
          <a:solidFill>
            <a:schemeClr val="phClr">
              <a:alpha val="50000"/>
            </a:schemeClr>
          </a:solidFill>
          <a:prstDash val="solid"/>
          <a:miter/>
        </a:ln>
        <a:ln w="88900" cap="flat" cmpd="sng" algn="ctr">
          <a:solidFill>
            <a:schemeClr val="phClr">
              <a:alpha val="40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innerShdw blurRad="190500" dir="13500000">
              <a:srgbClr val="000000">
                <a:alpha val="50000"/>
              </a:srgbClr>
            </a:innerShdw>
            <a:outerShdw blurRad="38100" dist="25400" dir="5400000" rotWithShape="0">
              <a:srgbClr val="000000">
                <a:alpha val="50000"/>
              </a:srgbClr>
            </a:outerShdw>
          </a:effectLst>
        </a:effectStyle>
      </a:effectStyleLst>
      <a:bgFillStyleLst>
        <a:blipFill rotWithShape="1">
          <a:blip xmlns:r="http://schemas.openxmlformats.org/officeDocument/2006/relationships" r:embed="rId3">
            <a:duotone>
              <a:schemeClr val="phClr">
                <a:shade val="70000"/>
                <a:satMod val="500000"/>
                <a:lumMod val="50000"/>
              </a:schemeClr>
              <a:schemeClr val="phClr">
                <a:satMod val="800000"/>
                <a:lumMod val="250000"/>
              </a:schemeClr>
            </a:duotone>
          </a:blip>
          <a:stretch/>
        </a:blipFill>
        <a:blipFill rotWithShape="1">
          <a:blip xmlns:r="http://schemas.openxmlformats.org/officeDocument/2006/relationships" r:embed="rId4">
            <a:duotone>
              <a:schemeClr val="phClr">
                <a:shade val="70000"/>
                <a:satMod val="500000"/>
                <a:lumMod val="50000"/>
              </a:schemeClr>
              <a:schemeClr val="phClr">
                <a:satMod val="800000"/>
                <a:lumMod val="250000"/>
              </a:schemeClr>
            </a:duotone>
          </a:blip>
          <a:stretch/>
        </a:blipFill>
        <a:blipFill rotWithShape="1">
          <a:blip xmlns:r="http://schemas.openxmlformats.org/officeDocument/2006/relationships" r:embed="rId5">
            <a:duotone>
              <a:schemeClr val="phClr">
                <a:shade val="70000"/>
                <a:satMod val="500000"/>
                <a:lumMod val="50000"/>
              </a:schemeClr>
              <a:schemeClr val="phClr">
                <a:satMod val="800000"/>
                <a:lumMod val="2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A43F-5078-4C02-9105-9210330C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Uniandes_EN</Template>
  <TotalTime>6408</TotalTime>
  <Pages>19</Pages>
  <Words>6539</Words>
  <Characters>35968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Rosso</dc:creator>
  <cp:lastModifiedBy>John Rosso</cp:lastModifiedBy>
  <cp:revision>29</cp:revision>
  <cp:lastPrinted>2010-10-25T21:20:00Z</cp:lastPrinted>
  <dcterms:created xsi:type="dcterms:W3CDTF">2014-07-18T11:47:00Z</dcterms:created>
  <dcterms:modified xsi:type="dcterms:W3CDTF">2014-08-15T21:56:00Z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id="uDGStyVf"/&gt;&lt;style id="http://www.zotero.org/styles/apa" hasBibliography="1" bibliographyStyleHasBeenSet="1"/&gt;&lt;prefs&gt;&lt;pref name="fieldType" value="Field"/&gt;&lt;pref name="noteType" value="0"/&gt;&lt;pref </vt:lpwstr>
  </property>
  <property fmtid="{D5CDD505-2E9C-101B-9397-08002B2CF9AE}" pid="3" name="ZOTERO_PREF_2">
    <vt:lpwstr>name="storeReferences" value="false"/&gt;&lt;pref name="automaticJournalAbbreviations" value="false"/&gt;&lt;/prefs&gt;&lt;/data&gt;</vt:lpwstr>
  </property>
</Properties>
</file>