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D6" w:rsidRPr="0032329D" w:rsidRDefault="001C74F3" w:rsidP="0032329D">
      <w:pPr>
        <w:spacing w:line="360" w:lineRule="auto"/>
        <w:jc w:val="center"/>
        <w:rPr>
          <w:rFonts w:ascii="Times New Roman" w:hAnsi="Times New Roman" w:cs="Times New Roman"/>
          <w:b/>
          <w:sz w:val="24"/>
          <w:szCs w:val="24"/>
        </w:rPr>
      </w:pPr>
      <w:r w:rsidRPr="0032329D">
        <w:rPr>
          <w:rFonts w:ascii="Times New Roman" w:hAnsi="Times New Roman" w:cs="Times New Roman"/>
          <w:b/>
          <w:sz w:val="24"/>
          <w:szCs w:val="24"/>
        </w:rPr>
        <w:t xml:space="preserve">DIVIDEND PAYOUT POLICY IN </w:t>
      </w:r>
      <w:r w:rsidR="00713D82" w:rsidRPr="0032329D">
        <w:rPr>
          <w:rFonts w:ascii="Times New Roman" w:hAnsi="Times New Roman" w:cs="Times New Roman"/>
          <w:b/>
          <w:sz w:val="24"/>
          <w:szCs w:val="24"/>
        </w:rPr>
        <w:t xml:space="preserve">THE </w:t>
      </w:r>
      <w:r w:rsidRPr="0032329D">
        <w:rPr>
          <w:rFonts w:ascii="Times New Roman" w:hAnsi="Times New Roman" w:cs="Times New Roman"/>
          <w:b/>
          <w:sz w:val="24"/>
          <w:szCs w:val="24"/>
        </w:rPr>
        <w:t>MINING INDUSTRY UNDER A CONFIDENCE CRISIS</w:t>
      </w:r>
    </w:p>
    <w:p w:rsidR="00C251D6" w:rsidRPr="0032329D" w:rsidRDefault="001C74F3" w:rsidP="0032329D">
      <w:pPr>
        <w:spacing w:line="360" w:lineRule="auto"/>
        <w:jc w:val="center"/>
        <w:rPr>
          <w:rFonts w:ascii="Times New Roman" w:hAnsi="Times New Roman" w:cs="Times New Roman"/>
          <w:b/>
          <w:sz w:val="24"/>
          <w:szCs w:val="24"/>
        </w:rPr>
      </w:pPr>
      <w:r w:rsidRPr="0032329D">
        <w:rPr>
          <w:rFonts w:ascii="Times New Roman" w:hAnsi="Times New Roman" w:cs="Times New Roman"/>
          <w:b/>
          <w:sz w:val="24"/>
          <w:szCs w:val="24"/>
        </w:rPr>
        <w:t>Abstract</w:t>
      </w:r>
    </w:p>
    <w:p w:rsidR="00C251D6" w:rsidRPr="0032329D" w:rsidRDefault="001C74F3" w:rsidP="0032329D">
      <w:pPr>
        <w:pStyle w:val="TextBody"/>
        <w:spacing w:line="360" w:lineRule="auto"/>
        <w:jc w:val="both"/>
        <w:rPr>
          <w:rFonts w:ascii="Times New Roman" w:hAnsi="Times New Roman" w:cs="Times New Roman"/>
          <w:color w:val="1A1A1A"/>
          <w:sz w:val="24"/>
          <w:szCs w:val="24"/>
        </w:rPr>
      </w:pPr>
      <w:r w:rsidRPr="0032329D">
        <w:rPr>
          <w:rFonts w:ascii="Times New Roman" w:hAnsi="Times New Roman" w:cs="Times New Roman"/>
          <w:color w:val="1A1A1A"/>
          <w:sz w:val="24"/>
          <w:szCs w:val="24"/>
        </w:rPr>
        <w:t>In the past, the Mining industry has outperformed the broader equity markets, but this trend has recently changed. While Mining stocks fell slightly in recent years, the Mining industry is facing a confidence crisis. In this situation, it seems contradictory to increase the payout ratio while earnings have become scarce. In light of the latest corporate finance theories, this article investigates the rationale for Mining companies' payout policy. In particular, we discuss corporate payout policy under asymmetric information models focusing on signaling theory. The results support a negative correlation in some years, however, from 2002 to 2013 the Mining industry as a whole showed no positive correlation between future earnings and changes in dividend payout policy.</w:t>
      </w:r>
    </w:p>
    <w:p w:rsidR="00C251D6" w:rsidRPr="0032329D" w:rsidRDefault="001C74F3" w:rsidP="0032329D">
      <w:pPr>
        <w:spacing w:line="360" w:lineRule="auto"/>
        <w:rPr>
          <w:rFonts w:ascii="Times New Roman" w:hAnsi="Times New Roman" w:cs="Times New Roman"/>
          <w:b/>
          <w:sz w:val="24"/>
          <w:szCs w:val="24"/>
        </w:rPr>
      </w:pPr>
      <w:r w:rsidRPr="0032329D">
        <w:rPr>
          <w:rFonts w:ascii="Times New Roman" w:hAnsi="Times New Roman" w:cs="Times New Roman"/>
          <w:b/>
          <w:sz w:val="24"/>
          <w:szCs w:val="24"/>
        </w:rPr>
        <w:t>Key words:</w:t>
      </w:r>
    </w:p>
    <w:p w:rsidR="00C251D6" w:rsidRPr="0032329D" w:rsidRDefault="001C74F3" w:rsidP="0032329D">
      <w:pPr>
        <w:spacing w:line="360" w:lineRule="auto"/>
        <w:jc w:val="both"/>
        <w:rPr>
          <w:rFonts w:ascii="Times New Roman" w:hAnsi="Times New Roman" w:cs="Times New Roman"/>
          <w:sz w:val="24"/>
          <w:szCs w:val="24"/>
        </w:rPr>
      </w:pPr>
      <w:r w:rsidRPr="0032329D">
        <w:rPr>
          <w:rFonts w:ascii="Times New Roman" w:hAnsi="Times New Roman" w:cs="Times New Roman"/>
          <w:sz w:val="24"/>
          <w:szCs w:val="24"/>
        </w:rPr>
        <w:t>Dividends, Payout policy, Mining industry</w:t>
      </w:r>
    </w:p>
    <w:p w:rsidR="00C251D6" w:rsidRPr="00D801A9" w:rsidRDefault="001C74F3" w:rsidP="00D801A9">
      <w:pPr>
        <w:spacing w:line="360" w:lineRule="auto"/>
        <w:jc w:val="center"/>
        <w:rPr>
          <w:rFonts w:ascii="Times New Roman" w:hAnsi="Times New Roman" w:cs="Times New Roman"/>
          <w:b/>
          <w:sz w:val="24"/>
          <w:szCs w:val="24"/>
        </w:rPr>
      </w:pPr>
      <w:r w:rsidRPr="00D801A9">
        <w:rPr>
          <w:rFonts w:ascii="Times New Roman" w:hAnsi="Times New Roman" w:cs="Times New Roman"/>
          <w:b/>
          <w:sz w:val="24"/>
          <w:szCs w:val="24"/>
        </w:rPr>
        <w:t>INTRODUCTION</w:t>
      </w:r>
    </w:p>
    <w:p w:rsidR="00C251D6" w:rsidRPr="00D801A9" w:rsidRDefault="00AF4638"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The Mining industry is a very important sector for Deve</w:t>
      </w:r>
      <w:r w:rsidR="00A27164" w:rsidRPr="00D801A9">
        <w:rPr>
          <w:rFonts w:ascii="Times New Roman" w:hAnsi="Times New Roman" w:cs="Times New Roman"/>
          <w:sz w:val="24"/>
          <w:szCs w:val="24"/>
        </w:rPr>
        <w:t>loping Countries due to its contribution to</w:t>
      </w:r>
      <w:r w:rsidR="001C74F3" w:rsidRPr="00D801A9">
        <w:rPr>
          <w:rFonts w:ascii="Times New Roman" w:hAnsi="Times New Roman" w:cs="Times New Roman"/>
          <w:sz w:val="24"/>
          <w:szCs w:val="24"/>
        </w:rPr>
        <w:t xml:space="preserve"> the</w:t>
      </w:r>
      <w:r w:rsidR="00327E08" w:rsidRPr="00D801A9">
        <w:rPr>
          <w:rFonts w:ascii="Times New Roman" w:hAnsi="Times New Roman" w:cs="Times New Roman"/>
          <w:sz w:val="24"/>
          <w:szCs w:val="24"/>
        </w:rPr>
        <w:t xml:space="preserve">ir economic growth.  In 2013, </w:t>
      </w:r>
      <w:r w:rsidR="00F9779E" w:rsidRPr="00D801A9">
        <w:rPr>
          <w:rFonts w:ascii="Times New Roman" w:hAnsi="Times New Roman" w:cs="Times New Roman"/>
          <w:sz w:val="24"/>
          <w:szCs w:val="24"/>
        </w:rPr>
        <w:t>Pricewaterhouse</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 xml:space="preserve">Coopers </w:t>
      </w:r>
      <w:r w:rsidR="00327E08" w:rsidRPr="00D801A9">
        <w:rPr>
          <w:rFonts w:ascii="Times New Roman" w:hAnsi="Times New Roman" w:cs="Times New Roman"/>
          <w:sz w:val="24"/>
          <w:szCs w:val="24"/>
        </w:rPr>
        <w:t xml:space="preserve">reported that </w:t>
      </w:r>
      <w:r w:rsidR="00F9779E" w:rsidRPr="00D801A9">
        <w:rPr>
          <w:rFonts w:ascii="Times New Roman" w:hAnsi="Times New Roman" w:cs="Times New Roman"/>
          <w:sz w:val="24"/>
          <w:szCs w:val="24"/>
        </w:rPr>
        <w:t>more recently</w:t>
      </w:r>
      <w:r w:rsidR="00327E08" w:rsidRPr="00D801A9">
        <w:rPr>
          <w:rFonts w:ascii="Times New Roman" w:hAnsi="Times New Roman" w:cs="Times New Roman"/>
          <w:sz w:val="24"/>
          <w:szCs w:val="24"/>
        </w:rPr>
        <w:t>,</w:t>
      </w:r>
      <w:r w:rsidR="007D1D0C" w:rsidRPr="00D801A9">
        <w:rPr>
          <w:rFonts w:ascii="Times New Roman" w:hAnsi="Times New Roman" w:cs="Times New Roman"/>
          <w:sz w:val="24"/>
          <w:szCs w:val="24"/>
        </w:rPr>
        <w:t xml:space="preserve"> the Mining</w:t>
      </w:r>
      <w:r w:rsidR="001C74F3" w:rsidRPr="00D801A9">
        <w:rPr>
          <w:rFonts w:ascii="Times New Roman" w:hAnsi="Times New Roman" w:cs="Times New Roman"/>
          <w:sz w:val="24"/>
          <w:szCs w:val="24"/>
        </w:rPr>
        <w:t xml:space="preserve"> sector has suffere</w:t>
      </w:r>
      <w:r w:rsidR="001E0948" w:rsidRPr="00D801A9">
        <w:rPr>
          <w:rFonts w:ascii="Times New Roman" w:hAnsi="Times New Roman" w:cs="Times New Roman"/>
          <w:sz w:val="24"/>
          <w:szCs w:val="24"/>
        </w:rPr>
        <w:t xml:space="preserve">d </w:t>
      </w:r>
      <w:r w:rsidR="007D1D0C" w:rsidRPr="00D801A9">
        <w:rPr>
          <w:rFonts w:ascii="Times New Roman" w:hAnsi="Times New Roman" w:cs="Times New Roman"/>
          <w:sz w:val="24"/>
          <w:szCs w:val="24"/>
        </w:rPr>
        <w:t>global meltdowns</w:t>
      </w:r>
      <w:r w:rsidR="0032329D" w:rsidRPr="00D801A9">
        <w:rPr>
          <w:rFonts w:ascii="Times New Roman" w:hAnsi="Times New Roman" w:cs="Times New Roman"/>
          <w:sz w:val="24"/>
          <w:szCs w:val="24"/>
        </w:rPr>
        <w:t xml:space="preserve"> </w:t>
      </w:r>
      <w:r w:rsidR="007D1D0C" w:rsidRPr="00D801A9">
        <w:rPr>
          <w:rFonts w:ascii="Times New Roman" w:hAnsi="Times New Roman" w:cs="Times New Roman"/>
          <w:sz w:val="24"/>
          <w:szCs w:val="24"/>
        </w:rPr>
        <w:t>according to</w:t>
      </w:r>
      <w:r w:rsidR="0032329D" w:rsidRPr="00D801A9">
        <w:rPr>
          <w:rFonts w:ascii="Times New Roman" w:hAnsi="Times New Roman" w:cs="Times New Roman"/>
          <w:sz w:val="24"/>
          <w:szCs w:val="24"/>
        </w:rPr>
        <w:t xml:space="preserve"> </w:t>
      </w:r>
      <w:r w:rsidR="00F9779E" w:rsidRPr="00D801A9">
        <w:rPr>
          <w:rFonts w:ascii="Times New Roman" w:hAnsi="Times New Roman" w:cs="Times New Roman"/>
          <w:sz w:val="24"/>
          <w:szCs w:val="24"/>
        </w:rPr>
        <w:t>several</w:t>
      </w:r>
      <w:r w:rsidR="001E0948" w:rsidRPr="00D801A9">
        <w:rPr>
          <w:rFonts w:ascii="Times New Roman" w:hAnsi="Times New Roman" w:cs="Times New Roman"/>
          <w:sz w:val="24"/>
          <w:szCs w:val="24"/>
        </w:rPr>
        <w:t xml:space="preserve"> indicators</w:t>
      </w:r>
      <w:r w:rsidR="001C74F3" w:rsidRPr="00D801A9">
        <w:rPr>
          <w:rFonts w:ascii="Times New Roman" w:hAnsi="Times New Roman" w:cs="Times New Roman"/>
          <w:sz w:val="24"/>
          <w:szCs w:val="24"/>
        </w:rPr>
        <w:t xml:space="preserve">.  These include a </w:t>
      </w:r>
      <w:r w:rsidR="002A153C" w:rsidRPr="00D801A9">
        <w:rPr>
          <w:rFonts w:ascii="Times New Roman" w:hAnsi="Times New Roman" w:cs="Times New Roman"/>
          <w:sz w:val="24"/>
          <w:szCs w:val="24"/>
        </w:rPr>
        <w:t xml:space="preserve">steady </w:t>
      </w:r>
      <w:r w:rsidR="001C74F3" w:rsidRPr="00D801A9">
        <w:rPr>
          <w:rFonts w:ascii="Times New Roman" w:hAnsi="Times New Roman" w:cs="Times New Roman"/>
          <w:sz w:val="24"/>
          <w:szCs w:val="24"/>
        </w:rPr>
        <w:t>drop in market value</w:t>
      </w:r>
      <w:r w:rsidR="00F9779E" w:rsidRPr="00D801A9">
        <w:rPr>
          <w:rFonts w:ascii="Times New Roman" w:hAnsi="Times New Roman" w:cs="Times New Roman"/>
          <w:sz w:val="24"/>
          <w:szCs w:val="24"/>
        </w:rPr>
        <w:t xml:space="preserve"> amounting to a </w:t>
      </w:r>
      <w:r w:rsidR="001C74F3" w:rsidRPr="00D801A9">
        <w:rPr>
          <w:rFonts w:ascii="Times New Roman" w:hAnsi="Times New Roman" w:cs="Times New Roman"/>
          <w:sz w:val="24"/>
          <w:szCs w:val="24"/>
        </w:rPr>
        <w:t xml:space="preserve">20% </w:t>
      </w:r>
      <w:r w:rsidR="00F9779E" w:rsidRPr="00D801A9">
        <w:rPr>
          <w:rFonts w:ascii="Times New Roman" w:hAnsi="Times New Roman" w:cs="Times New Roman"/>
          <w:sz w:val="24"/>
          <w:szCs w:val="24"/>
        </w:rPr>
        <w:t xml:space="preserve">drop compared with 2012; </w:t>
      </w:r>
      <w:r w:rsidR="002A153C" w:rsidRPr="00D801A9">
        <w:rPr>
          <w:rFonts w:ascii="Times New Roman" w:hAnsi="Times New Roman" w:cs="Times New Roman"/>
          <w:sz w:val="24"/>
          <w:szCs w:val="24"/>
        </w:rPr>
        <w:t>no revenue growth among the forty</w:t>
      </w:r>
      <w:r w:rsidR="00F9779E" w:rsidRPr="00D801A9">
        <w:rPr>
          <w:rFonts w:ascii="Times New Roman" w:hAnsi="Times New Roman" w:cs="Times New Roman"/>
          <w:sz w:val="24"/>
          <w:szCs w:val="24"/>
        </w:rPr>
        <w:t xml:space="preserve"> largest mining companies(</w:t>
      </w:r>
      <w:r w:rsidR="001C74F3" w:rsidRPr="00D801A9">
        <w:rPr>
          <w:rFonts w:ascii="Times New Roman" w:hAnsi="Times New Roman" w:cs="Times New Roman"/>
          <w:sz w:val="24"/>
          <w:szCs w:val="24"/>
        </w:rPr>
        <w:t>flat at $735 billion,</w:t>
      </w:r>
      <w:r w:rsidR="00F9779E" w:rsidRPr="00D801A9">
        <w:rPr>
          <w:rFonts w:ascii="Times New Roman" w:hAnsi="Times New Roman" w:cs="Times New Roman"/>
          <w:sz w:val="24"/>
          <w:szCs w:val="24"/>
        </w:rPr>
        <w:t xml:space="preserve">); and </w:t>
      </w:r>
      <w:r w:rsidR="001C74F3" w:rsidRPr="00D801A9">
        <w:rPr>
          <w:rFonts w:ascii="Times New Roman" w:hAnsi="Times New Roman" w:cs="Times New Roman"/>
          <w:sz w:val="24"/>
          <w:szCs w:val="24"/>
        </w:rPr>
        <w:t xml:space="preserve">a 6% increase in production volume </w:t>
      </w:r>
      <w:r w:rsidR="00F9779E" w:rsidRPr="00D801A9">
        <w:rPr>
          <w:rFonts w:ascii="Times New Roman" w:hAnsi="Times New Roman" w:cs="Times New Roman"/>
          <w:sz w:val="24"/>
          <w:szCs w:val="24"/>
        </w:rPr>
        <w:t xml:space="preserve">that </w:t>
      </w:r>
      <w:r w:rsidR="001C74F3" w:rsidRPr="00D801A9">
        <w:rPr>
          <w:rFonts w:ascii="Times New Roman" w:hAnsi="Times New Roman" w:cs="Times New Roman"/>
          <w:sz w:val="24"/>
          <w:szCs w:val="24"/>
        </w:rPr>
        <w:t>was of</w:t>
      </w:r>
      <w:r w:rsidR="00F9779E" w:rsidRPr="00D801A9">
        <w:rPr>
          <w:rFonts w:ascii="Times New Roman" w:hAnsi="Times New Roman" w:cs="Times New Roman"/>
          <w:sz w:val="24"/>
          <w:szCs w:val="24"/>
        </w:rPr>
        <w:t xml:space="preserve">fset by softer commodity prices. </w:t>
      </w:r>
      <w:r w:rsidRPr="00D801A9">
        <w:rPr>
          <w:rFonts w:ascii="Times New Roman" w:hAnsi="Times New Roman" w:cs="Times New Roman"/>
          <w:sz w:val="24"/>
          <w:szCs w:val="24"/>
        </w:rPr>
        <w:t xml:space="preserve"> Within</w:t>
      </w:r>
      <w:r w:rsidR="001C74F3" w:rsidRPr="00D801A9">
        <w:rPr>
          <w:rFonts w:ascii="Times New Roman" w:hAnsi="Times New Roman" w:cs="Times New Roman"/>
          <w:sz w:val="24"/>
          <w:szCs w:val="24"/>
        </w:rPr>
        <w:t xml:space="preserve"> the same group of companies</w:t>
      </w:r>
      <w:r w:rsidR="00F9779E"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the estimated 2013 </w:t>
      </w:r>
      <w:r w:rsidR="00AA5D91" w:rsidRPr="00D801A9">
        <w:rPr>
          <w:rFonts w:ascii="Times New Roman" w:hAnsi="Times New Roman" w:cs="Times New Roman"/>
          <w:sz w:val="24"/>
          <w:szCs w:val="24"/>
        </w:rPr>
        <w:t>capital expenditure</w:t>
      </w:r>
      <w:r w:rsidR="00E36C1F" w:rsidRPr="00D801A9">
        <w:rPr>
          <w:rFonts w:ascii="Times New Roman" w:hAnsi="Times New Roman" w:cs="Times New Roman"/>
          <w:sz w:val="24"/>
          <w:szCs w:val="24"/>
        </w:rPr>
        <w:t xml:space="preserve"> (capex)</w:t>
      </w:r>
      <w:r w:rsidR="001C74F3" w:rsidRPr="00D801A9">
        <w:rPr>
          <w:rFonts w:ascii="Times New Roman" w:hAnsi="Times New Roman" w:cs="Times New Roman"/>
          <w:sz w:val="24"/>
          <w:szCs w:val="24"/>
        </w:rPr>
        <w:t xml:space="preserve"> was $110 billion, 21%</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 xml:space="preserve">lower than </w:t>
      </w:r>
      <w:r w:rsidR="00AA5D91" w:rsidRPr="00D801A9">
        <w:rPr>
          <w:rFonts w:ascii="Times New Roman" w:hAnsi="Times New Roman" w:cs="Times New Roman"/>
          <w:sz w:val="24"/>
          <w:szCs w:val="24"/>
        </w:rPr>
        <w:t>2012, and since April 2012</w:t>
      </w:r>
      <w:r w:rsidR="00BF0C09" w:rsidRPr="00D801A9">
        <w:rPr>
          <w:rFonts w:ascii="Times New Roman" w:hAnsi="Times New Roman" w:cs="Times New Roman"/>
          <w:sz w:val="24"/>
          <w:szCs w:val="24"/>
        </w:rPr>
        <w:t>,</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 xml:space="preserve">the top </w:t>
      </w:r>
      <w:r w:rsidR="00BF0C09" w:rsidRPr="00D801A9">
        <w:rPr>
          <w:rFonts w:ascii="Times New Roman" w:hAnsi="Times New Roman" w:cs="Times New Roman"/>
          <w:sz w:val="24"/>
          <w:szCs w:val="24"/>
        </w:rPr>
        <w:t xml:space="preserve">ten companies’ </w:t>
      </w:r>
      <w:r w:rsidR="001C74F3" w:rsidRPr="00D801A9">
        <w:rPr>
          <w:rFonts w:ascii="Times New Roman" w:hAnsi="Times New Roman" w:cs="Times New Roman"/>
          <w:sz w:val="24"/>
          <w:szCs w:val="24"/>
        </w:rPr>
        <w:t xml:space="preserve">CEOs have </w:t>
      </w:r>
      <w:r w:rsidRPr="00D801A9">
        <w:rPr>
          <w:rFonts w:ascii="Times New Roman" w:hAnsi="Times New Roman" w:cs="Times New Roman"/>
          <w:sz w:val="24"/>
          <w:szCs w:val="24"/>
        </w:rPr>
        <w:t xml:space="preserve">all </w:t>
      </w:r>
      <w:r w:rsidR="001C74F3" w:rsidRPr="00D801A9">
        <w:rPr>
          <w:rFonts w:ascii="Times New Roman" w:hAnsi="Times New Roman" w:cs="Times New Roman"/>
          <w:sz w:val="24"/>
          <w:szCs w:val="24"/>
        </w:rPr>
        <w:t>been</w:t>
      </w:r>
      <w:r w:rsidR="00BF0C09" w:rsidRPr="00D801A9">
        <w:rPr>
          <w:rFonts w:ascii="Times New Roman" w:hAnsi="Times New Roman" w:cs="Times New Roman"/>
          <w:sz w:val="24"/>
          <w:szCs w:val="24"/>
        </w:rPr>
        <w:t xml:space="preserve"> replaced. This report concluded that the</w:t>
      </w:r>
      <w:r w:rsidRPr="00D801A9">
        <w:rPr>
          <w:rFonts w:ascii="Times New Roman" w:hAnsi="Times New Roman" w:cs="Times New Roman"/>
          <w:sz w:val="24"/>
          <w:szCs w:val="24"/>
        </w:rPr>
        <w:t>se</w:t>
      </w:r>
      <w:r w:rsidR="00BF0C09" w:rsidRPr="00D801A9">
        <w:rPr>
          <w:rFonts w:ascii="Times New Roman" w:hAnsi="Times New Roman" w:cs="Times New Roman"/>
          <w:sz w:val="24"/>
          <w:szCs w:val="24"/>
        </w:rPr>
        <w:t xml:space="preserve"> circumstances were indicators of </w:t>
      </w:r>
      <w:r w:rsidR="001C74F3" w:rsidRPr="00D801A9">
        <w:rPr>
          <w:rFonts w:ascii="Times New Roman" w:hAnsi="Times New Roman" w:cs="Times New Roman"/>
          <w:sz w:val="24"/>
          <w:szCs w:val="24"/>
        </w:rPr>
        <w:t>a confidence crisis in the mining sector.</w:t>
      </w:r>
      <w:r w:rsidR="0032329D" w:rsidRPr="00D801A9">
        <w:rPr>
          <w:rFonts w:ascii="Times New Roman" w:hAnsi="Times New Roman" w:cs="Times New Roman"/>
          <w:sz w:val="24"/>
          <w:szCs w:val="24"/>
        </w:rPr>
        <w:t xml:space="preserve"> </w:t>
      </w:r>
      <w:r w:rsidR="002A153C" w:rsidRPr="00D801A9">
        <w:rPr>
          <w:rFonts w:ascii="Times New Roman" w:hAnsi="Times New Roman" w:cs="Times New Roman"/>
          <w:sz w:val="24"/>
          <w:szCs w:val="24"/>
        </w:rPr>
        <w:t>At the same time</w:t>
      </w:r>
      <w:r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the same repo</w:t>
      </w:r>
      <w:r w:rsidR="00A63F7D" w:rsidRPr="00D801A9">
        <w:rPr>
          <w:rFonts w:ascii="Times New Roman" w:hAnsi="Times New Roman" w:cs="Times New Roman"/>
          <w:sz w:val="24"/>
          <w:szCs w:val="24"/>
        </w:rPr>
        <w:t>rt points out that the rewards to</w:t>
      </w:r>
      <w:r w:rsidR="001C74F3" w:rsidRPr="00D801A9">
        <w:rPr>
          <w:rFonts w:ascii="Times New Roman" w:hAnsi="Times New Roman" w:cs="Times New Roman"/>
          <w:sz w:val="24"/>
          <w:szCs w:val="24"/>
        </w:rPr>
        <w:t xml:space="preserve"> shareholder</w:t>
      </w:r>
      <w:r w:rsidRPr="00D801A9">
        <w:rPr>
          <w:rFonts w:ascii="Times New Roman" w:hAnsi="Times New Roman" w:cs="Times New Roman"/>
          <w:sz w:val="24"/>
          <w:szCs w:val="24"/>
        </w:rPr>
        <w:t>s are scheduled to stay the same, or improve</w:t>
      </w:r>
      <w:r w:rsidR="00A63F7D" w:rsidRPr="00D801A9">
        <w:rPr>
          <w:rFonts w:ascii="Times New Roman" w:hAnsi="Times New Roman" w:cs="Times New Roman"/>
          <w:sz w:val="24"/>
          <w:szCs w:val="24"/>
        </w:rPr>
        <w:t>.</w:t>
      </w:r>
      <w:r w:rsidR="0032329D" w:rsidRPr="00D801A9">
        <w:rPr>
          <w:rFonts w:ascii="Times New Roman" w:hAnsi="Times New Roman" w:cs="Times New Roman"/>
          <w:sz w:val="24"/>
          <w:szCs w:val="24"/>
        </w:rPr>
        <w:t xml:space="preserve"> </w:t>
      </w:r>
      <w:r w:rsidRPr="00D801A9">
        <w:rPr>
          <w:rFonts w:ascii="Times New Roman" w:hAnsi="Times New Roman" w:cs="Times New Roman"/>
          <w:sz w:val="24"/>
          <w:szCs w:val="24"/>
        </w:rPr>
        <w:t>All but two of the top ten</w:t>
      </w:r>
      <w:r w:rsidR="001C74F3" w:rsidRPr="00D801A9">
        <w:rPr>
          <w:rFonts w:ascii="Times New Roman" w:hAnsi="Times New Roman" w:cs="Times New Roman"/>
          <w:sz w:val="24"/>
          <w:szCs w:val="24"/>
        </w:rPr>
        <w:t xml:space="preserve"> companies have publicly assured shareholders that current dividend levels will either be maintained or improved. In 2012</w:t>
      </w:r>
      <w:r w:rsidRPr="00D801A9">
        <w:rPr>
          <w:rFonts w:ascii="Times New Roman" w:hAnsi="Times New Roman" w:cs="Times New Roman"/>
          <w:sz w:val="24"/>
          <w:szCs w:val="24"/>
        </w:rPr>
        <w:t>, the t</w:t>
      </w:r>
      <w:r w:rsidR="001C74F3" w:rsidRPr="00D801A9">
        <w:rPr>
          <w:rFonts w:ascii="Times New Roman" w:hAnsi="Times New Roman" w:cs="Times New Roman"/>
          <w:sz w:val="24"/>
          <w:szCs w:val="24"/>
        </w:rPr>
        <w:t xml:space="preserve">op </w:t>
      </w:r>
      <w:r w:rsidRPr="00D801A9">
        <w:rPr>
          <w:rFonts w:ascii="Times New Roman" w:hAnsi="Times New Roman" w:cs="Times New Roman"/>
          <w:sz w:val="24"/>
          <w:szCs w:val="24"/>
        </w:rPr>
        <w:t xml:space="preserve">ten companies </w:t>
      </w:r>
      <w:r w:rsidR="001C74F3" w:rsidRPr="00D801A9">
        <w:rPr>
          <w:rFonts w:ascii="Times New Roman" w:hAnsi="Times New Roman" w:cs="Times New Roman"/>
          <w:sz w:val="24"/>
          <w:szCs w:val="24"/>
        </w:rPr>
        <w:t xml:space="preserve">paid out record dividends, increasing the dividend payout ratio from 25% in 2011 to </w:t>
      </w:r>
      <w:r w:rsidR="001C74F3" w:rsidRPr="00D801A9">
        <w:rPr>
          <w:rFonts w:ascii="Times New Roman" w:hAnsi="Times New Roman" w:cs="Times New Roman"/>
          <w:sz w:val="24"/>
          <w:szCs w:val="24"/>
        </w:rPr>
        <w:lastRenderedPageBreak/>
        <w:t xml:space="preserve">57% in 2012. </w:t>
      </w:r>
      <w:r w:rsidRPr="00D801A9">
        <w:rPr>
          <w:rFonts w:ascii="Times New Roman" w:hAnsi="Times New Roman" w:cs="Times New Roman"/>
          <w:sz w:val="24"/>
          <w:szCs w:val="24"/>
        </w:rPr>
        <w:t xml:space="preserve"> From 2009 to 2012, the top forty companies’</w:t>
      </w:r>
      <w:r w:rsidR="001C74F3" w:rsidRPr="00D801A9">
        <w:rPr>
          <w:rFonts w:ascii="Times New Roman" w:hAnsi="Times New Roman" w:cs="Times New Roman"/>
          <w:sz w:val="24"/>
          <w:szCs w:val="24"/>
        </w:rPr>
        <w:t xml:space="preserve"> dividends have increased by more than 150%, from $15 billion to $30 billion.</w:t>
      </w:r>
    </w:p>
    <w:p w:rsidR="00C251D6" w:rsidRPr="00D801A9" w:rsidRDefault="00AF4638"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2A42C9" w:rsidRPr="00D801A9">
        <w:rPr>
          <w:rFonts w:ascii="Times New Roman" w:hAnsi="Times New Roman" w:cs="Times New Roman"/>
          <w:sz w:val="24"/>
          <w:szCs w:val="24"/>
        </w:rPr>
        <w:t>With</w:t>
      </w:r>
      <w:r w:rsidR="0032329D" w:rsidRPr="00D801A9">
        <w:rPr>
          <w:rFonts w:ascii="Times New Roman" w:hAnsi="Times New Roman" w:cs="Times New Roman"/>
          <w:sz w:val="24"/>
          <w:szCs w:val="24"/>
        </w:rPr>
        <w:t xml:space="preserve"> </w:t>
      </w:r>
      <w:r w:rsidR="002A42C9" w:rsidRPr="00D801A9">
        <w:rPr>
          <w:rFonts w:ascii="Times New Roman" w:hAnsi="Times New Roman" w:cs="Times New Roman"/>
          <w:sz w:val="24"/>
          <w:szCs w:val="24"/>
        </w:rPr>
        <w:t>a confidence crisis</w:t>
      </w:r>
      <w:r w:rsidR="004B5255" w:rsidRPr="00D801A9">
        <w:rPr>
          <w:rFonts w:ascii="Times New Roman" w:hAnsi="Times New Roman" w:cs="Times New Roman"/>
          <w:sz w:val="24"/>
          <w:szCs w:val="24"/>
        </w:rPr>
        <w:t xml:space="preserve"> in the backdrop</w:t>
      </w:r>
      <w:r w:rsidR="001C74F3" w:rsidRPr="00D801A9">
        <w:rPr>
          <w:rFonts w:ascii="Times New Roman" w:hAnsi="Times New Roman" w:cs="Times New Roman"/>
          <w:sz w:val="24"/>
          <w:szCs w:val="24"/>
        </w:rPr>
        <w:t xml:space="preserve">, it seems contradictory to increase the payout ratio while the earnings </w:t>
      </w:r>
      <w:r w:rsidRPr="00D801A9">
        <w:rPr>
          <w:rFonts w:ascii="Times New Roman" w:hAnsi="Times New Roman" w:cs="Times New Roman"/>
          <w:sz w:val="24"/>
          <w:szCs w:val="24"/>
        </w:rPr>
        <w:t xml:space="preserve">have </w:t>
      </w:r>
      <w:r w:rsidR="001C74F3" w:rsidRPr="00D801A9">
        <w:rPr>
          <w:rFonts w:ascii="Times New Roman" w:hAnsi="Times New Roman" w:cs="Times New Roman"/>
          <w:sz w:val="24"/>
          <w:szCs w:val="24"/>
        </w:rPr>
        <w:t>become scarce</w:t>
      </w:r>
      <w:r w:rsidR="00001857" w:rsidRPr="00D801A9">
        <w:rPr>
          <w:rFonts w:ascii="Times New Roman" w:hAnsi="Times New Roman" w:cs="Times New Roman"/>
          <w:sz w:val="24"/>
          <w:szCs w:val="24"/>
        </w:rPr>
        <w:t xml:space="preserve"> according to</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corporate finance the</w:t>
      </w:r>
      <w:r w:rsidR="004B5255" w:rsidRPr="00D801A9">
        <w:rPr>
          <w:rFonts w:ascii="Times New Roman" w:hAnsi="Times New Roman" w:cs="Times New Roman"/>
          <w:sz w:val="24"/>
          <w:szCs w:val="24"/>
        </w:rPr>
        <w:t>ory regarding</w:t>
      </w:r>
      <w:r w:rsidR="007D1D0C" w:rsidRPr="00D801A9">
        <w:rPr>
          <w:rFonts w:ascii="Times New Roman" w:hAnsi="Times New Roman" w:cs="Times New Roman"/>
          <w:sz w:val="24"/>
          <w:szCs w:val="24"/>
        </w:rPr>
        <w:t xml:space="preserve"> payout policies.</w:t>
      </w:r>
      <w:r w:rsidR="0032329D" w:rsidRPr="00D801A9">
        <w:rPr>
          <w:rFonts w:ascii="Times New Roman" w:hAnsi="Times New Roman" w:cs="Times New Roman"/>
          <w:sz w:val="24"/>
          <w:szCs w:val="24"/>
        </w:rPr>
        <w:t xml:space="preserve"> </w:t>
      </w:r>
      <w:r w:rsidR="00001857" w:rsidRPr="00D801A9">
        <w:rPr>
          <w:rFonts w:ascii="Times New Roman" w:hAnsi="Times New Roman" w:cs="Times New Roman"/>
          <w:sz w:val="24"/>
          <w:szCs w:val="24"/>
        </w:rPr>
        <w:t>In</w:t>
      </w:r>
      <w:r w:rsidR="004B5255" w:rsidRPr="00D801A9">
        <w:rPr>
          <w:rFonts w:ascii="Times New Roman" w:hAnsi="Times New Roman" w:cs="Times New Roman"/>
          <w:sz w:val="24"/>
          <w:szCs w:val="24"/>
        </w:rPr>
        <w:t xml:space="preserve"> this </w:t>
      </w:r>
      <w:r w:rsidR="00001857" w:rsidRPr="00D801A9">
        <w:rPr>
          <w:rFonts w:ascii="Times New Roman" w:hAnsi="Times New Roman" w:cs="Times New Roman"/>
          <w:sz w:val="24"/>
          <w:szCs w:val="24"/>
        </w:rPr>
        <w:t xml:space="preserve">study, we </w:t>
      </w:r>
      <w:r w:rsidR="004B5255" w:rsidRPr="00D801A9">
        <w:rPr>
          <w:rFonts w:ascii="Times New Roman" w:hAnsi="Times New Roman" w:cs="Times New Roman"/>
          <w:sz w:val="24"/>
          <w:szCs w:val="24"/>
        </w:rPr>
        <w:t>explore the possible</w:t>
      </w:r>
      <w:r w:rsidR="001C74F3" w:rsidRPr="00D801A9">
        <w:rPr>
          <w:rFonts w:ascii="Times New Roman" w:hAnsi="Times New Roman" w:cs="Times New Roman"/>
          <w:sz w:val="24"/>
          <w:szCs w:val="24"/>
        </w:rPr>
        <w:t xml:space="preserve"> causes</w:t>
      </w:r>
      <w:r w:rsidR="00001857" w:rsidRPr="00D801A9">
        <w:rPr>
          <w:rFonts w:ascii="Times New Roman" w:hAnsi="Times New Roman" w:cs="Times New Roman"/>
          <w:sz w:val="24"/>
          <w:szCs w:val="24"/>
        </w:rPr>
        <w:t xml:space="preserve"> of this paradox</w:t>
      </w:r>
      <w:r w:rsidR="004B5255" w:rsidRPr="00D801A9">
        <w:rPr>
          <w:rFonts w:ascii="Times New Roman" w:hAnsi="Times New Roman" w:cs="Times New Roman"/>
          <w:sz w:val="24"/>
          <w:szCs w:val="24"/>
        </w:rPr>
        <w:t xml:space="preserve">.  Essentially, the question is: are recent payout policies of companies of the Mining industry consistent or inconsistent with </w:t>
      </w:r>
      <w:r w:rsidR="002C6DA9" w:rsidRPr="00D801A9">
        <w:rPr>
          <w:rFonts w:ascii="Times New Roman" w:hAnsi="Times New Roman" w:cs="Times New Roman"/>
          <w:sz w:val="24"/>
          <w:szCs w:val="24"/>
        </w:rPr>
        <w:t>the Asymmetric Information model</w:t>
      </w:r>
      <w:r w:rsidR="00001857" w:rsidRPr="00D801A9">
        <w:rPr>
          <w:rFonts w:ascii="Times New Roman" w:hAnsi="Times New Roman" w:cs="Times New Roman"/>
          <w:sz w:val="24"/>
          <w:szCs w:val="24"/>
        </w:rPr>
        <w:t xml:space="preserve"> in </w:t>
      </w:r>
      <w:r w:rsidR="004B5255" w:rsidRPr="00D801A9">
        <w:rPr>
          <w:rFonts w:ascii="Times New Roman" w:hAnsi="Times New Roman" w:cs="Times New Roman"/>
          <w:sz w:val="24"/>
          <w:szCs w:val="24"/>
        </w:rPr>
        <w:t xml:space="preserve">corporate finance </w:t>
      </w:r>
      <w:r w:rsidR="00001857" w:rsidRPr="00D801A9">
        <w:rPr>
          <w:rFonts w:ascii="Times New Roman" w:hAnsi="Times New Roman" w:cs="Times New Roman"/>
          <w:sz w:val="24"/>
          <w:szCs w:val="24"/>
        </w:rPr>
        <w:t xml:space="preserve">Signaling </w:t>
      </w:r>
      <w:r w:rsidR="004B5255" w:rsidRPr="00D801A9">
        <w:rPr>
          <w:rFonts w:ascii="Times New Roman" w:hAnsi="Times New Roman" w:cs="Times New Roman"/>
          <w:sz w:val="24"/>
          <w:szCs w:val="24"/>
        </w:rPr>
        <w:t>theory</w:t>
      </w:r>
      <w:r w:rsidR="001C74F3" w:rsidRPr="00D801A9">
        <w:rPr>
          <w:rFonts w:ascii="Times New Roman" w:hAnsi="Times New Roman" w:cs="Times New Roman"/>
          <w:sz w:val="24"/>
          <w:szCs w:val="24"/>
        </w:rPr>
        <w:t>.</w:t>
      </w:r>
      <w:r w:rsidR="0032329D" w:rsidRPr="00D801A9">
        <w:rPr>
          <w:rFonts w:ascii="Times New Roman" w:hAnsi="Times New Roman" w:cs="Times New Roman"/>
          <w:sz w:val="24"/>
          <w:szCs w:val="24"/>
        </w:rPr>
        <w:t xml:space="preserve"> </w:t>
      </w:r>
      <w:r w:rsidR="00624289" w:rsidRPr="00D801A9">
        <w:rPr>
          <w:rFonts w:ascii="Times New Roman" w:hAnsi="Times New Roman" w:cs="Times New Roman"/>
          <w:sz w:val="24"/>
          <w:szCs w:val="24"/>
        </w:rPr>
        <w:t>Accordingly,</w:t>
      </w:r>
      <w:r w:rsidR="00001857" w:rsidRPr="00D801A9">
        <w:rPr>
          <w:rFonts w:ascii="Times New Roman" w:hAnsi="Times New Roman" w:cs="Times New Roman"/>
          <w:sz w:val="24"/>
          <w:szCs w:val="24"/>
        </w:rPr>
        <w:t xml:space="preserve"> d</w:t>
      </w:r>
      <w:r w:rsidR="001C74F3" w:rsidRPr="00D801A9">
        <w:rPr>
          <w:rFonts w:ascii="Times New Roman" w:hAnsi="Times New Roman" w:cs="Times New Roman"/>
          <w:sz w:val="24"/>
          <w:szCs w:val="24"/>
        </w:rPr>
        <w:t>ivid</w:t>
      </w:r>
      <w:r w:rsidR="00001857" w:rsidRPr="00D801A9">
        <w:rPr>
          <w:rFonts w:ascii="Times New Roman" w:hAnsi="Times New Roman" w:cs="Times New Roman"/>
          <w:sz w:val="24"/>
          <w:szCs w:val="24"/>
        </w:rPr>
        <w:t xml:space="preserve">end changes </w:t>
      </w:r>
      <w:r w:rsidR="00624289" w:rsidRPr="00D801A9">
        <w:rPr>
          <w:rFonts w:ascii="Times New Roman" w:hAnsi="Times New Roman" w:cs="Times New Roman"/>
          <w:sz w:val="24"/>
          <w:szCs w:val="24"/>
        </w:rPr>
        <w:t>should</w:t>
      </w:r>
      <w:r w:rsidR="00001857" w:rsidRPr="00D801A9">
        <w:rPr>
          <w:rFonts w:ascii="Times New Roman" w:hAnsi="Times New Roman" w:cs="Times New Roman"/>
          <w:sz w:val="24"/>
          <w:szCs w:val="24"/>
        </w:rPr>
        <w:t xml:space="preserve"> be positively correlated</w:t>
      </w:r>
      <w:r w:rsidR="001C74F3" w:rsidRPr="00D801A9">
        <w:rPr>
          <w:rFonts w:ascii="Times New Roman" w:hAnsi="Times New Roman" w:cs="Times New Roman"/>
          <w:sz w:val="24"/>
          <w:szCs w:val="24"/>
        </w:rPr>
        <w:t xml:space="preserve"> with pric</w:t>
      </w:r>
      <w:r w:rsidR="00624289" w:rsidRPr="00D801A9">
        <w:rPr>
          <w:rFonts w:ascii="Times New Roman" w:hAnsi="Times New Roman" w:cs="Times New Roman"/>
          <w:sz w:val="24"/>
          <w:szCs w:val="24"/>
        </w:rPr>
        <w:t xml:space="preserve">e changes, </w:t>
      </w:r>
      <w:r w:rsidR="004D2BA1" w:rsidRPr="00D801A9">
        <w:rPr>
          <w:rFonts w:ascii="Times New Roman" w:hAnsi="Times New Roman" w:cs="Times New Roman"/>
          <w:sz w:val="24"/>
          <w:szCs w:val="24"/>
        </w:rPr>
        <w:t>and</w:t>
      </w:r>
      <w:r w:rsidR="0032329D" w:rsidRPr="00D801A9">
        <w:rPr>
          <w:rFonts w:ascii="Times New Roman" w:hAnsi="Times New Roman" w:cs="Times New Roman"/>
          <w:sz w:val="24"/>
          <w:szCs w:val="24"/>
        </w:rPr>
        <w:t xml:space="preserve"> </w:t>
      </w:r>
      <w:r w:rsidR="00624289" w:rsidRPr="00D801A9">
        <w:rPr>
          <w:rFonts w:ascii="Times New Roman" w:hAnsi="Times New Roman" w:cs="Times New Roman"/>
          <w:sz w:val="24"/>
          <w:szCs w:val="24"/>
        </w:rPr>
        <w:t>positively correlated with</w:t>
      </w:r>
      <w:r w:rsidR="001C74F3" w:rsidRPr="00D801A9">
        <w:rPr>
          <w:rFonts w:ascii="Times New Roman" w:hAnsi="Times New Roman" w:cs="Times New Roman"/>
          <w:sz w:val="24"/>
          <w:szCs w:val="24"/>
        </w:rPr>
        <w:t xml:space="preserve"> changes in expectat</w:t>
      </w:r>
      <w:r w:rsidR="00624289" w:rsidRPr="00D801A9">
        <w:rPr>
          <w:rFonts w:ascii="Times New Roman" w:hAnsi="Times New Roman" w:cs="Times New Roman"/>
          <w:sz w:val="24"/>
          <w:szCs w:val="24"/>
        </w:rPr>
        <w:t>ions about future earnings</w:t>
      </w:r>
      <w:r w:rsidR="004D2BA1" w:rsidRPr="00D801A9">
        <w:rPr>
          <w:rFonts w:ascii="Times New Roman" w:hAnsi="Times New Roman" w:cs="Times New Roman"/>
          <w:sz w:val="24"/>
          <w:szCs w:val="24"/>
        </w:rPr>
        <w:t>.</w:t>
      </w:r>
    </w:p>
    <w:p w:rsidR="00C251D6" w:rsidRPr="00D801A9" w:rsidRDefault="004D2BA1"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We run a regression with the financial data of mining firms ext</w:t>
      </w:r>
      <w:r w:rsidR="007F7887" w:rsidRPr="00D801A9">
        <w:rPr>
          <w:rFonts w:ascii="Times New Roman" w:hAnsi="Times New Roman" w:cs="Times New Roman"/>
          <w:sz w:val="24"/>
          <w:szCs w:val="24"/>
        </w:rPr>
        <w:t xml:space="preserve">racted from COMPUSTAT </w:t>
      </w:r>
      <w:r w:rsidR="002C6DA9" w:rsidRPr="00D801A9">
        <w:rPr>
          <w:rFonts w:ascii="Times New Roman" w:hAnsi="Times New Roman" w:cs="Times New Roman"/>
          <w:sz w:val="24"/>
          <w:szCs w:val="24"/>
        </w:rPr>
        <w:t xml:space="preserve">and </w:t>
      </w:r>
      <w:r w:rsidR="007F7887" w:rsidRPr="00D801A9">
        <w:rPr>
          <w:rFonts w:ascii="Times New Roman" w:hAnsi="Times New Roman" w:cs="Times New Roman"/>
          <w:sz w:val="24"/>
          <w:szCs w:val="24"/>
        </w:rPr>
        <w:t xml:space="preserve">grouped </w:t>
      </w:r>
      <w:r w:rsidR="002C6DA9" w:rsidRPr="00D801A9">
        <w:rPr>
          <w:rFonts w:ascii="Times New Roman" w:hAnsi="Times New Roman" w:cs="Times New Roman"/>
          <w:sz w:val="24"/>
          <w:szCs w:val="24"/>
        </w:rPr>
        <w:t xml:space="preserve">them </w:t>
      </w:r>
      <w:r w:rsidR="007F7887" w:rsidRPr="00D801A9">
        <w:rPr>
          <w:rFonts w:ascii="Times New Roman" w:hAnsi="Times New Roman" w:cs="Times New Roman"/>
          <w:sz w:val="24"/>
          <w:szCs w:val="24"/>
        </w:rPr>
        <w:t>in</w:t>
      </w:r>
      <w:r w:rsidR="001C74F3" w:rsidRPr="00D801A9">
        <w:rPr>
          <w:rFonts w:ascii="Times New Roman" w:hAnsi="Times New Roman" w:cs="Times New Roman"/>
          <w:sz w:val="24"/>
          <w:szCs w:val="24"/>
        </w:rPr>
        <w:t xml:space="preserve"> three</w:t>
      </w:r>
      <w:r w:rsidR="007F7887" w:rsidRPr="00D801A9">
        <w:rPr>
          <w:rFonts w:ascii="Times New Roman" w:hAnsi="Times New Roman" w:cs="Times New Roman"/>
          <w:sz w:val="24"/>
          <w:szCs w:val="24"/>
        </w:rPr>
        <w:t xml:space="preserve"> time</w:t>
      </w:r>
      <w:r w:rsidR="001C74F3" w:rsidRPr="00D801A9">
        <w:rPr>
          <w:rFonts w:ascii="Times New Roman" w:hAnsi="Times New Roman" w:cs="Times New Roman"/>
          <w:sz w:val="24"/>
          <w:szCs w:val="24"/>
        </w:rPr>
        <w:t xml:space="preserve"> periods: 2002</w:t>
      </w:r>
      <w:r w:rsidRPr="00D801A9">
        <w:rPr>
          <w:rFonts w:ascii="Times New Roman" w:hAnsi="Times New Roman" w:cs="Times New Roman"/>
          <w:sz w:val="24"/>
          <w:szCs w:val="24"/>
        </w:rPr>
        <w:t xml:space="preserve"> – </w:t>
      </w:r>
      <w:r w:rsidR="001C74F3" w:rsidRPr="00D801A9">
        <w:rPr>
          <w:rFonts w:ascii="Times New Roman" w:hAnsi="Times New Roman" w:cs="Times New Roman"/>
          <w:sz w:val="24"/>
          <w:szCs w:val="24"/>
        </w:rPr>
        <w:t>200</w:t>
      </w:r>
      <w:r w:rsidR="007F7887" w:rsidRPr="00D801A9">
        <w:rPr>
          <w:rFonts w:ascii="Times New Roman" w:hAnsi="Times New Roman" w:cs="Times New Roman"/>
          <w:sz w:val="24"/>
          <w:szCs w:val="24"/>
        </w:rPr>
        <w:t>7, 2008 – 2009, and 2010 – 2013. Our dependent variable is</w:t>
      </w:r>
      <w:r w:rsidR="0032329D" w:rsidRPr="00D801A9">
        <w:rPr>
          <w:rFonts w:ascii="Times New Roman" w:hAnsi="Times New Roman" w:cs="Times New Roman"/>
          <w:sz w:val="24"/>
          <w:szCs w:val="24"/>
        </w:rPr>
        <w:t xml:space="preserve"> </w:t>
      </w:r>
      <w:r w:rsidR="007F7887" w:rsidRPr="00D801A9">
        <w:rPr>
          <w:rFonts w:ascii="Times New Roman" w:hAnsi="Times New Roman" w:cs="Times New Roman"/>
          <w:sz w:val="24"/>
          <w:szCs w:val="24"/>
        </w:rPr>
        <w:t xml:space="preserve">earnings and </w:t>
      </w:r>
      <w:r w:rsidR="002C6DA9" w:rsidRPr="00D801A9">
        <w:rPr>
          <w:rFonts w:ascii="Times New Roman" w:hAnsi="Times New Roman" w:cs="Times New Roman"/>
          <w:sz w:val="24"/>
          <w:szCs w:val="24"/>
        </w:rPr>
        <w:t>the independent variable is the dividend payout.  T</w:t>
      </w:r>
      <w:r w:rsidR="001C74F3" w:rsidRPr="00D801A9">
        <w:rPr>
          <w:rFonts w:ascii="Times New Roman" w:hAnsi="Times New Roman" w:cs="Times New Roman"/>
          <w:sz w:val="24"/>
          <w:szCs w:val="24"/>
        </w:rPr>
        <w:t>he equation</w:t>
      </w:r>
      <w:r w:rsidR="002C6DA9" w:rsidRPr="00D801A9">
        <w:rPr>
          <w:rFonts w:ascii="Times New Roman" w:hAnsi="Times New Roman" w:cs="Times New Roman"/>
          <w:sz w:val="24"/>
          <w:szCs w:val="24"/>
        </w:rPr>
        <w:t xml:space="preserve"> modeled is based o</w:t>
      </w:r>
      <w:r w:rsidR="001C74F3" w:rsidRPr="00D801A9">
        <w:rPr>
          <w:rFonts w:ascii="Times New Roman" w:hAnsi="Times New Roman" w:cs="Times New Roman"/>
          <w:sz w:val="24"/>
          <w:szCs w:val="24"/>
        </w:rPr>
        <w:t xml:space="preserve">n the </w:t>
      </w:r>
      <w:r w:rsidR="002C6DA9" w:rsidRPr="00D801A9">
        <w:rPr>
          <w:rFonts w:ascii="Times New Roman" w:hAnsi="Times New Roman" w:cs="Times New Roman"/>
          <w:sz w:val="24"/>
          <w:szCs w:val="24"/>
        </w:rPr>
        <w:t xml:space="preserve">model described by </w:t>
      </w:r>
      <w:r w:rsidR="001C74F3" w:rsidRPr="00D801A9">
        <w:rPr>
          <w:rFonts w:ascii="Times New Roman" w:hAnsi="Times New Roman" w:cs="Times New Roman"/>
          <w:sz w:val="24"/>
          <w:szCs w:val="24"/>
        </w:rPr>
        <w:t>Grullon, Michaely, Benartzi, and Thaler (2005)</w:t>
      </w:r>
      <w:r w:rsidR="002C6DA9" w:rsidRPr="00D801A9">
        <w:rPr>
          <w:rFonts w:ascii="Times New Roman" w:hAnsi="Times New Roman" w:cs="Times New Roman"/>
          <w:sz w:val="24"/>
          <w:szCs w:val="24"/>
        </w:rPr>
        <w:t>. As in Grullon et al’s paper, this study intends to determine</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the</w:t>
      </w:r>
      <w:r w:rsidR="002C6DA9" w:rsidRPr="00D801A9">
        <w:rPr>
          <w:rFonts w:ascii="Times New Roman" w:hAnsi="Times New Roman" w:cs="Times New Roman"/>
          <w:sz w:val="24"/>
          <w:szCs w:val="24"/>
        </w:rPr>
        <w:t xml:space="preserve"> direction of the </w:t>
      </w:r>
      <w:r w:rsidR="001C74F3" w:rsidRPr="00D801A9">
        <w:rPr>
          <w:rFonts w:ascii="Times New Roman" w:hAnsi="Times New Roman" w:cs="Times New Roman"/>
          <w:sz w:val="24"/>
          <w:szCs w:val="24"/>
        </w:rPr>
        <w:t>relationship between change</w:t>
      </w:r>
      <w:r w:rsidR="002C6DA9" w:rsidRPr="00D801A9">
        <w:rPr>
          <w:rFonts w:ascii="Times New Roman" w:hAnsi="Times New Roman" w:cs="Times New Roman"/>
          <w:sz w:val="24"/>
          <w:szCs w:val="24"/>
        </w:rPr>
        <w:t>s in future earnings and dividend payouts</w:t>
      </w:r>
      <w:r w:rsidR="00C42370" w:rsidRPr="00D801A9">
        <w:rPr>
          <w:rFonts w:ascii="Times New Roman" w:hAnsi="Times New Roman" w:cs="Times New Roman"/>
          <w:sz w:val="24"/>
          <w:szCs w:val="24"/>
        </w:rPr>
        <w:t xml:space="preserve">. </w:t>
      </w:r>
    </w:p>
    <w:p w:rsidR="00C251D6" w:rsidRPr="00D801A9" w:rsidRDefault="001C74F3" w:rsidP="00365375">
      <w:pPr>
        <w:spacing w:line="360" w:lineRule="auto"/>
        <w:jc w:val="center"/>
        <w:rPr>
          <w:rFonts w:ascii="Times New Roman" w:hAnsi="Times New Roman" w:cs="Times New Roman"/>
          <w:b/>
          <w:sz w:val="24"/>
          <w:szCs w:val="24"/>
        </w:rPr>
      </w:pPr>
      <w:r w:rsidRPr="00D801A9">
        <w:rPr>
          <w:rFonts w:ascii="Times New Roman" w:hAnsi="Times New Roman" w:cs="Times New Roman"/>
          <w:b/>
          <w:sz w:val="24"/>
          <w:szCs w:val="24"/>
        </w:rPr>
        <w:t>LITERATURE REVIEW</w:t>
      </w:r>
    </w:p>
    <w:p w:rsidR="00362FE9" w:rsidRPr="00D801A9" w:rsidRDefault="006D3F93"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The literature on corporate payout policy addresses t</w:t>
      </w:r>
      <w:r w:rsidR="006607E4" w:rsidRPr="00D801A9">
        <w:rPr>
          <w:rFonts w:ascii="Times New Roman" w:hAnsi="Times New Roman" w:cs="Times New Roman"/>
          <w:sz w:val="24"/>
          <w:szCs w:val="24"/>
        </w:rPr>
        <w:t xml:space="preserve">wo important questions. </w:t>
      </w:r>
      <w:r w:rsidRPr="00D801A9">
        <w:rPr>
          <w:rFonts w:ascii="Times New Roman" w:hAnsi="Times New Roman" w:cs="Times New Roman"/>
          <w:sz w:val="24"/>
          <w:szCs w:val="24"/>
        </w:rPr>
        <w:t xml:space="preserve"> Firstly, h</w:t>
      </w:r>
      <w:r w:rsidR="001C74F3" w:rsidRPr="00D801A9">
        <w:rPr>
          <w:rFonts w:ascii="Times New Roman" w:hAnsi="Times New Roman" w:cs="Times New Roman"/>
          <w:sz w:val="24"/>
          <w:szCs w:val="24"/>
        </w:rPr>
        <w:t>ow much cash should firms distrib</w:t>
      </w:r>
      <w:r w:rsidRPr="00D801A9">
        <w:rPr>
          <w:rFonts w:ascii="Times New Roman" w:hAnsi="Times New Roman" w:cs="Times New Roman"/>
          <w:sz w:val="24"/>
          <w:szCs w:val="24"/>
        </w:rPr>
        <w:t>ute to their shareholders? S</w:t>
      </w:r>
      <w:r w:rsidR="001C74F3" w:rsidRPr="00D801A9">
        <w:rPr>
          <w:rFonts w:ascii="Times New Roman" w:hAnsi="Times New Roman" w:cs="Times New Roman"/>
          <w:sz w:val="24"/>
          <w:szCs w:val="24"/>
        </w:rPr>
        <w:t>econd</w:t>
      </w:r>
      <w:r w:rsidRPr="00D801A9">
        <w:rPr>
          <w:rFonts w:ascii="Times New Roman" w:hAnsi="Times New Roman" w:cs="Times New Roman"/>
          <w:sz w:val="24"/>
          <w:szCs w:val="24"/>
        </w:rPr>
        <w:t>ly, h</w:t>
      </w:r>
      <w:r w:rsidR="001C74F3" w:rsidRPr="00D801A9">
        <w:rPr>
          <w:rFonts w:ascii="Times New Roman" w:hAnsi="Times New Roman" w:cs="Times New Roman"/>
          <w:sz w:val="24"/>
          <w:szCs w:val="24"/>
        </w:rPr>
        <w:t>o</w:t>
      </w:r>
      <w:r w:rsidR="00ED7D6C" w:rsidRPr="00D801A9">
        <w:rPr>
          <w:rFonts w:ascii="Times New Roman" w:hAnsi="Times New Roman" w:cs="Times New Roman"/>
          <w:sz w:val="24"/>
          <w:szCs w:val="24"/>
        </w:rPr>
        <w:t xml:space="preserve">w should firms distribute </w:t>
      </w:r>
      <w:r w:rsidR="001C74F3" w:rsidRPr="00D801A9">
        <w:rPr>
          <w:rFonts w:ascii="Times New Roman" w:hAnsi="Times New Roman" w:cs="Times New Roman"/>
          <w:sz w:val="24"/>
          <w:szCs w:val="24"/>
        </w:rPr>
        <w:t xml:space="preserve">cash to their shareholders? The latter question refers </w:t>
      </w:r>
      <w:r w:rsidR="00ED7D6C" w:rsidRPr="00D801A9">
        <w:rPr>
          <w:rFonts w:ascii="Times New Roman" w:hAnsi="Times New Roman" w:cs="Times New Roman"/>
          <w:sz w:val="24"/>
          <w:szCs w:val="24"/>
        </w:rPr>
        <w:t>to which is the best way to transfer</w:t>
      </w:r>
      <w:r w:rsidR="001C74F3" w:rsidRPr="00D801A9">
        <w:rPr>
          <w:rFonts w:ascii="Times New Roman" w:hAnsi="Times New Roman" w:cs="Times New Roman"/>
          <w:sz w:val="24"/>
          <w:szCs w:val="24"/>
        </w:rPr>
        <w:t xml:space="preserve"> cash t</w:t>
      </w:r>
      <w:r w:rsidRPr="00D801A9">
        <w:rPr>
          <w:rFonts w:ascii="Times New Roman" w:hAnsi="Times New Roman" w:cs="Times New Roman"/>
          <w:sz w:val="24"/>
          <w:szCs w:val="24"/>
        </w:rPr>
        <w:t>o shareholders: either by dividends or s</w:t>
      </w:r>
      <w:r w:rsidR="006607E4" w:rsidRPr="00D801A9">
        <w:rPr>
          <w:rFonts w:ascii="Times New Roman" w:hAnsi="Times New Roman" w:cs="Times New Roman"/>
          <w:sz w:val="24"/>
          <w:szCs w:val="24"/>
        </w:rPr>
        <w:t>hare repurchases.  To date, i</w:t>
      </w:r>
      <w:r w:rsidR="001C74F3" w:rsidRPr="00D801A9">
        <w:rPr>
          <w:rFonts w:ascii="Times New Roman" w:hAnsi="Times New Roman" w:cs="Times New Roman"/>
          <w:sz w:val="24"/>
          <w:szCs w:val="24"/>
        </w:rPr>
        <w:t>t is unclear why corporations distribute a significant fraction of thei</w:t>
      </w:r>
      <w:r w:rsidR="00ED7D6C" w:rsidRPr="00D801A9">
        <w:rPr>
          <w:rFonts w:ascii="Times New Roman" w:hAnsi="Times New Roman" w:cs="Times New Roman"/>
          <w:sz w:val="24"/>
          <w:szCs w:val="24"/>
        </w:rPr>
        <w:t>r earnings to their shareholder.  S</w:t>
      </w:r>
      <w:r w:rsidR="001C74F3" w:rsidRPr="00D801A9">
        <w:rPr>
          <w:rFonts w:ascii="Times New Roman" w:hAnsi="Times New Roman" w:cs="Times New Roman"/>
          <w:sz w:val="24"/>
          <w:szCs w:val="24"/>
        </w:rPr>
        <w:t xml:space="preserve">ince Modigliani and Miller (1961) </w:t>
      </w:r>
      <w:r w:rsidR="00ED7D6C" w:rsidRPr="00D801A9">
        <w:rPr>
          <w:rFonts w:ascii="Times New Roman" w:hAnsi="Times New Roman" w:cs="Times New Roman"/>
          <w:sz w:val="24"/>
          <w:szCs w:val="24"/>
        </w:rPr>
        <w:t>demonstrated</w:t>
      </w:r>
      <w:r w:rsidR="0032329D" w:rsidRPr="00D801A9">
        <w:rPr>
          <w:rFonts w:ascii="Times New Roman" w:hAnsi="Times New Roman" w:cs="Times New Roman"/>
          <w:sz w:val="24"/>
          <w:szCs w:val="24"/>
        </w:rPr>
        <w:t xml:space="preserve"> </w:t>
      </w:r>
      <w:r w:rsidR="00F065F7" w:rsidRPr="00D801A9">
        <w:rPr>
          <w:rFonts w:ascii="Times New Roman" w:hAnsi="Times New Roman" w:cs="Times New Roman"/>
          <w:sz w:val="24"/>
          <w:szCs w:val="24"/>
        </w:rPr>
        <w:t>that in perfect capital markets</w:t>
      </w:r>
      <w:r w:rsidR="001C74F3" w:rsidRPr="00D801A9">
        <w:rPr>
          <w:rFonts w:ascii="Times New Roman" w:hAnsi="Times New Roman" w:cs="Times New Roman"/>
          <w:sz w:val="24"/>
          <w:szCs w:val="24"/>
        </w:rPr>
        <w:t xml:space="preserve"> the market value of any firm is independent of its dividend policy</w:t>
      </w:r>
      <w:r w:rsidR="00ED7D6C" w:rsidRPr="00D801A9">
        <w:rPr>
          <w:rFonts w:ascii="Times New Roman" w:hAnsi="Times New Roman" w:cs="Times New Roman"/>
          <w:sz w:val="24"/>
          <w:szCs w:val="24"/>
        </w:rPr>
        <w:t>,</w:t>
      </w:r>
      <w:r w:rsidR="00E71C14" w:rsidRPr="00D801A9">
        <w:rPr>
          <w:rFonts w:ascii="Times New Roman" w:hAnsi="Times New Roman" w:cs="Times New Roman"/>
          <w:sz w:val="24"/>
          <w:szCs w:val="24"/>
        </w:rPr>
        <w:t xml:space="preserve"> until today, </w:t>
      </w:r>
      <w:r w:rsidR="001C74F3" w:rsidRPr="00D801A9">
        <w:rPr>
          <w:rFonts w:ascii="Times New Roman" w:hAnsi="Times New Roman" w:cs="Times New Roman"/>
          <w:sz w:val="24"/>
          <w:szCs w:val="24"/>
        </w:rPr>
        <w:t xml:space="preserve">academics and practitioners </w:t>
      </w:r>
      <w:r w:rsidR="00452816" w:rsidRPr="00D801A9">
        <w:rPr>
          <w:rFonts w:ascii="Times New Roman" w:hAnsi="Times New Roman" w:cs="Times New Roman"/>
          <w:sz w:val="24"/>
          <w:szCs w:val="24"/>
        </w:rPr>
        <w:t>have tried</w:t>
      </w:r>
      <w:r w:rsidR="00E71C14" w:rsidRPr="00D801A9">
        <w:rPr>
          <w:rFonts w:ascii="Times New Roman" w:hAnsi="Times New Roman" w:cs="Times New Roman"/>
          <w:sz w:val="24"/>
          <w:szCs w:val="24"/>
        </w:rPr>
        <w:t xml:space="preserve"> explain the reason for the dividend payout policy of firms</w:t>
      </w:r>
      <w:r w:rsidR="001C74F3" w:rsidRPr="00D801A9">
        <w:rPr>
          <w:rFonts w:ascii="Times New Roman" w:hAnsi="Times New Roman" w:cs="Times New Roman"/>
          <w:sz w:val="24"/>
          <w:szCs w:val="24"/>
        </w:rPr>
        <w:t>. One of these theories is the Static clientele model which</w:t>
      </w:r>
      <w:r w:rsidR="0032329D" w:rsidRPr="00D801A9">
        <w:rPr>
          <w:rFonts w:ascii="Times New Roman" w:hAnsi="Times New Roman" w:cs="Times New Roman"/>
          <w:sz w:val="24"/>
          <w:szCs w:val="24"/>
        </w:rPr>
        <w:t xml:space="preserve"> </w:t>
      </w:r>
      <w:r w:rsidR="0034621C" w:rsidRPr="00D801A9">
        <w:rPr>
          <w:rFonts w:ascii="Times New Roman" w:hAnsi="Times New Roman" w:cs="Times New Roman"/>
          <w:sz w:val="24"/>
          <w:szCs w:val="24"/>
        </w:rPr>
        <w:t>describes how</w:t>
      </w:r>
      <w:r w:rsidR="0032329D" w:rsidRPr="00D801A9">
        <w:rPr>
          <w:rFonts w:ascii="Times New Roman" w:hAnsi="Times New Roman" w:cs="Times New Roman"/>
          <w:sz w:val="24"/>
          <w:szCs w:val="24"/>
        </w:rPr>
        <w:t xml:space="preserve"> </w:t>
      </w:r>
      <w:r w:rsidR="00452816" w:rsidRPr="00D801A9">
        <w:rPr>
          <w:rFonts w:ascii="Times New Roman" w:hAnsi="Times New Roman" w:cs="Times New Roman"/>
          <w:sz w:val="24"/>
          <w:szCs w:val="24"/>
        </w:rPr>
        <w:t>historical</w:t>
      </w:r>
      <w:r w:rsidR="006D225A" w:rsidRPr="00D801A9">
        <w:rPr>
          <w:rFonts w:ascii="Times New Roman" w:hAnsi="Times New Roman" w:cs="Times New Roman"/>
          <w:sz w:val="24"/>
          <w:szCs w:val="24"/>
        </w:rPr>
        <w:t>ly, the time trend</w:t>
      </w:r>
      <w:r w:rsidR="00452816" w:rsidRPr="00D801A9">
        <w:rPr>
          <w:rFonts w:ascii="Times New Roman" w:hAnsi="Times New Roman" w:cs="Times New Roman"/>
          <w:sz w:val="24"/>
          <w:szCs w:val="24"/>
        </w:rPr>
        <w:t xml:space="preserve"> of </w:t>
      </w:r>
      <w:r w:rsidR="001C74F3" w:rsidRPr="00D801A9">
        <w:rPr>
          <w:rFonts w:ascii="Times New Roman" w:hAnsi="Times New Roman" w:cs="Times New Roman"/>
          <w:sz w:val="24"/>
          <w:szCs w:val="24"/>
        </w:rPr>
        <w:t>tax rates on capital gains has been much lower than the tax rate on ord</w:t>
      </w:r>
      <w:r w:rsidR="006D225A" w:rsidRPr="00D801A9">
        <w:rPr>
          <w:rFonts w:ascii="Times New Roman" w:hAnsi="Times New Roman" w:cs="Times New Roman"/>
          <w:sz w:val="24"/>
          <w:szCs w:val="24"/>
        </w:rPr>
        <w:t>inary income</w:t>
      </w:r>
      <w:r w:rsidR="001C74F3" w:rsidRPr="00D801A9">
        <w:rPr>
          <w:rFonts w:ascii="Times New Roman" w:hAnsi="Times New Roman" w:cs="Times New Roman"/>
          <w:sz w:val="24"/>
          <w:szCs w:val="24"/>
        </w:rPr>
        <w:t>.</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The tax disadvantage of dividends relative to share repurchases raises several important issues: Does the tax disadvantage of</w:t>
      </w:r>
      <w:r w:rsidR="00D118D4" w:rsidRPr="00D801A9">
        <w:rPr>
          <w:rFonts w:ascii="Times New Roman" w:hAnsi="Times New Roman" w:cs="Times New Roman"/>
          <w:sz w:val="24"/>
          <w:szCs w:val="24"/>
        </w:rPr>
        <w:t xml:space="preserve"> dividends affect asset prices?</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 xml:space="preserve">Why do firms pay dividends </w:t>
      </w:r>
      <w:r w:rsidR="00C812D3" w:rsidRPr="00D801A9">
        <w:rPr>
          <w:rFonts w:ascii="Times New Roman" w:hAnsi="Times New Roman" w:cs="Times New Roman"/>
          <w:sz w:val="24"/>
          <w:szCs w:val="24"/>
        </w:rPr>
        <w:t>instead of repurchasing shares?</w:t>
      </w:r>
      <w:r w:rsidR="001C74F3" w:rsidRPr="00D801A9">
        <w:rPr>
          <w:rFonts w:ascii="Times New Roman" w:hAnsi="Times New Roman" w:cs="Times New Roman"/>
          <w:sz w:val="24"/>
          <w:szCs w:val="24"/>
        </w:rPr>
        <w:t xml:space="preserve"> The static clientele model answers affirmatively to the first question if all investors are taxed in the same way, and </w:t>
      </w:r>
      <w:r w:rsidR="001C74F3" w:rsidRPr="00D801A9">
        <w:rPr>
          <w:rFonts w:ascii="Times New Roman" w:hAnsi="Times New Roman" w:cs="Times New Roman"/>
          <w:sz w:val="24"/>
          <w:szCs w:val="24"/>
        </w:rPr>
        <w:lastRenderedPageBreak/>
        <w:t xml:space="preserve">negatively if the different clienteles are taxed differently. </w:t>
      </w:r>
      <w:r w:rsidR="00BC5E2C" w:rsidRPr="00D801A9">
        <w:rPr>
          <w:rFonts w:ascii="Times New Roman" w:hAnsi="Times New Roman" w:cs="Times New Roman"/>
          <w:sz w:val="24"/>
          <w:szCs w:val="24"/>
        </w:rPr>
        <w:t>In equilibrium, it means that</w:t>
      </w:r>
      <w:r w:rsidR="001C74F3" w:rsidRPr="00D801A9">
        <w:rPr>
          <w:rFonts w:ascii="Times New Roman" w:hAnsi="Times New Roman" w:cs="Times New Roman"/>
          <w:sz w:val="24"/>
          <w:szCs w:val="24"/>
        </w:rPr>
        <w:t xml:space="preserve"> individuals in high tax brackets will hold low-dividend yield stocks, corporations will hold high-dividend yield stocks, and institutions will be indifferent, all of these because investors are taxed at different rates. Elton and Gruber (1970) examine the effect of taxes on prices using ex-dividend data price, assuming risk-neut</w:t>
      </w:r>
      <w:r w:rsidR="00BC5E2C" w:rsidRPr="00D801A9">
        <w:rPr>
          <w:rFonts w:ascii="Times New Roman" w:hAnsi="Times New Roman" w:cs="Times New Roman"/>
          <w:sz w:val="24"/>
          <w:szCs w:val="24"/>
        </w:rPr>
        <w:t>rality and no transaction costs and</w:t>
      </w:r>
      <w:r w:rsidR="001C74F3" w:rsidRPr="00D801A9">
        <w:rPr>
          <w:rFonts w:ascii="Times New Roman" w:hAnsi="Times New Roman" w:cs="Times New Roman"/>
          <w:sz w:val="24"/>
          <w:szCs w:val="24"/>
        </w:rPr>
        <w:t xml:space="preserve"> they show that differences in prices after the dividend </w:t>
      </w:r>
      <w:r w:rsidR="00C812D3" w:rsidRPr="00D801A9">
        <w:rPr>
          <w:rFonts w:ascii="Times New Roman" w:hAnsi="Times New Roman" w:cs="Times New Roman"/>
          <w:sz w:val="24"/>
          <w:szCs w:val="24"/>
        </w:rPr>
        <w:t>w</w:t>
      </w:r>
      <w:r w:rsidR="001C74F3" w:rsidRPr="00D801A9">
        <w:rPr>
          <w:rFonts w:ascii="Times New Roman" w:hAnsi="Times New Roman" w:cs="Times New Roman"/>
          <w:sz w:val="24"/>
          <w:szCs w:val="24"/>
        </w:rPr>
        <w:t>as paid is equal t</w:t>
      </w:r>
      <w:r w:rsidR="00BC5E2C" w:rsidRPr="00D801A9">
        <w:rPr>
          <w:rFonts w:ascii="Times New Roman" w:hAnsi="Times New Roman" w:cs="Times New Roman"/>
          <w:sz w:val="24"/>
          <w:szCs w:val="24"/>
        </w:rPr>
        <w:t xml:space="preserve">o dividends paid multiplied by </w:t>
      </w:r>
      <w:r w:rsidR="001C74F3" w:rsidRPr="00D801A9">
        <w:rPr>
          <w:rFonts w:ascii="Times New Roman" w:hAnsi="Times New Roman" w:cs="Times New Roman"/>
          <w:sz w:val="24"/>
          <w:szCs w:val="24"/>
        </w:rPr>
        <w:t xml:space="preserve">a factor of the personal tax rate on dividend income over personal tax rate on capital gains. </w:t>
      </w:r>
    </w:p>
    <w:p w:rsidR="00C251D6" w:rsidRPr="00D801A9" w:rsidRDefault="00362FE9"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 xml:space="preserve">There </w:t>
      </w:r>
      <w:r w:rsidRPr="00D801A9">
        <w:rPr>
          <w:rFonts w:ascii="Times New Roman" w:hAnsi="Times New Roman" w:cs="Times New Roman"/>
          <w:sz w:val="24"/>
          <w:szCs w:val="24"/>
        </w:rPr>
        <w:t>is</w:t>
      </w:r>
      <w:r w:rsidR="001C74F3" w:rsidRPr="00D801A9">
        <w:rPr>
          <w:rFonts w:ascii="Times New Roman" w:hAnsi="Times New Roman" w:cs="Times New Roman"/>
          <w:sz w:val="24"/>
          <w:szCs w:val="24"/>
        </w:rPr>
        <w:t xml:space="preserve"> mixed ev</w:t>
      </w:r>
      <w:r w:rsidRPr="00D801A9">
        <w:rPr>
          <w:rFonts w:ascii="Times New Roman" w:hAnsi="Times New Roman" w:cs="Times New Roman"/>
          <w:sz w:val="24"/>
          <w:szCs w:val="24"/>
        </w:rPr>
        <w:t>idence in the literature.</w:t>
      </w:r>
      <w:r w:rsidR="001C74F3" w:rsidRPr="00D801A9">
        <w:rPr>
          <w:rFonts w:ascii="Times New Roman" w:hAnsi="Times New Roman" w:cs="Times New Roman"/>
          <w:sz w:val="24"/>
          <w:szCs w:val="24"/>
        </w:rPr>
        <w:t xml:space="preserve"> Elton and Gruber (1970), Kalay (1982),  Poterba and Summers (1984) find that t</w:t>
      </w:r>
      <w:r w:rsidR="00176819" w:rsidRPr="00D801A9">
        <w:rPr>
          <w:rFonts w:ascii="Times New Roman" w:hAnsi="Times New Roman" w:cs="Times New Roman"/>
          <w:sz w:val="24"/>
          <w:szCs w:val="24"/>
        </w:rPr>
        <w:t>he average price drop on the ex-</w:t>
      </w:r>
      <w:r w:rsidR="001C74F3" w:rsidRPr="00D801A9">
        <w:rPr>
          <w:rFonts w:ascii="Times New Roman" w:hAnsi="Times New Roman" w:cs="Times New Roman"/>
          <w:sz w:val="24"/>
          <w:szCs w:val="24"/>
        </w:rPr>
        <w:t>day is smaller than the dividend payment if taxes on dividends are higher than taxes on capital gains. Barclay (1987), Michaely (1991) find mixed evidence on the effect of the relative taxation of dividends to capital gains on the premium.  Latest studies examining closed-end funds in whi</w:t>
      </w:r>
      <w:r w:rsidR="00BA7713" w:rsidRPr="00D801A9">
        <w:rPr>
          <w:rFonts w:ascii="Times New Roman" w:hAnsi="Times New Roman" w:cs="Times New Roman"/>
          <w:sz w:val="24"/>
          <w:szCs w:val="24"/>
        </w:rPr>
        <w:t>ch taxes on dividends are less</w:t>
      </w:r>
      <w:r w:rsidR="001C74F3" w:rsidRPr="00D801A9">
        <w:rPr>
          <w:rFonts w:ascii="Times New Roman" w:hAnsi="Times New Roman" w:cs="Times New Roman"/>
          <w:sz w:val="24"/>
          <w:szCs w:val="24"/>
        </w:rPr>
        <w:t xml:space="preserve"> than taxes on capital gains find that the average pric</w:t>
      </w:r>
      <w:r w:rsidR="00BA7713" w:rsidRPr="00D801A9">
        <w:rPr>
          <w:rFonts w:ascii="Times New Roman" w:hAnsi="Times New Roman" w:cs="Times New Roman"/>
          <w:sz w:val="24"/>
          <w:szCs w:val="24"/>
        </w:rPr>
        <w:t>e drop on the ex-</w:t>
      </w:r>
      <w:r w:rsidR="001C74F3" w:rsidRPr="00D801A9">
        <w:rPr>
          <w:rFonts w:ascii="Times New Roman" w:hAnsi="Times New Roman" w:cs="Times New Roman"/>
          <w:sz w:val="24"/>
          <w:szCs w:val="24"/>
        </w:rPr>
        <w:t>day is greater than the dividend payment</w:t>
      </w:r>
      <w:r w:rsidR="003805B3" w:rsidRPr="00D801A9">
        <w:rPr>
          <w:rFonts w:ascii="Times New Roman" w:hAnsi="Times New Roman" w:cs="Times New Roman"/>
          <w:sz w:val="24"/>
          <w:szCs w:val="24"/>
        </w:rPr>
        <w:t xml:space="preserve"> (Elton, Gruber</w:t>
      </w:r>
      <w:r w:rsidR="00FD0327" w:rsidRPr="00D801A9">
        <w:rPr>
          <w:rFonts w:ascii="Times New Roman" w:hAnsi="Times New Roman" w:cs="Times New Roman"/>
          <w:sz w:val="24"/>
          <w:szCs w:val="24"/>
        </w:rPr>
        <w:t>&amp;</w:t>
      </w:r>
      <w:r w:rsidR="003805B3" w:rsidRPr="00D801A9">
        <w:rPr>
          <w:rFonts w:ascii="Times New Roman" w:hAnsi="Times New Roman" w:cs="Times New Roman"/>
          <w:sz w:val="24"/>
          <w:szCs w:val="24"/>
        </w:rPr>
        <w:t xml:space="preserve"> Blake,</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 xml:space="preserve">2005). The idea behind that the Dynamic Model is that investors can trade around the ex-dividend day to capture or avoid dividends. Namely, </w:t>
      </w:r>
      <w:r w:rsidR="003E22C8" w:rsidRPr="00D801A9">
        <w:rPr>
          <w:rFonts w:ascii="Times New Roman" w:hAnsi="Times New Roman" w:cs="Times New Roman"/>
          <w:sz w:val="24"/>
          <w:szCs w:val="24"/>
        </w:rPr>
        <w:t>i</w:t>
      </w:r>
      <w:r w:rsidR="001C74F3" w:rsidRPr="00D801A9">
        <w:rPr>
          <w:rFonts w:ascii="Times New Roman" w:hAnsi="Times New Roman" w:cs="Times New Roman"/>
          <w:sz w:val="24"/>
          <w:szCs w:val="24"/>
        </w:rPr>
        <w:t>nstitutions and corporation</w:t>
      </w:r>
      <w:r w:rsidR="003E22C8" w:rsidRPr="00D801A9">
        <w:rPr>
          <w:rFonts w:ascii="Times New Roman" w:hAnsi="Times New Roman" w:cs="Times New Roman"/>
          <w:sz w:val="24"/>
          <w:szCs w:val="24"/>
        </w:rPr>
        <w:t>s</w:t>
      </w:r>
      <w:r w:rsidR="001C74F3" w:rsidRPr="00D801A9">
        <w:rPr>
          <w:rFonts w:ascii="Times New Roman" w:hAnsi="Times New Roman" w:cs="Times New Roman"/>
          <w:sz w:val="24"/>
          <w:szCs w:val="24"/>
        </w:rPr>
        <w:t xml:space="preserve"> try to capture dividends and individuals try to avoid dividends. Kalay (1982) shows that dynamic trading should lead to no difference between the change of stock pric</w:t>
      </w:r>
      <w:r w:rsidR="00465411" w:rsidRPr="00D801A9">
        <w:rPr>
          <w:rFonts w:ascii="Times New Roman" w:hAnsi="Times New Roman" w:cs="Times New Roman"/>
          <w:sz w:val="24"/>
          <w:szCs w:val="24"/>
        </w:rPr>
        <w:t>es and the dividend paid. Other</w:t>
      </w:r>
      <w:r w:rsidR="001C74F3" w:rsidRPr="00D801A9">
        <w:rPr>
          <w:rFonts w:ascii="Times New Roman" w:hAnsi="Times New Roman" w:cs="Times New Roman"/>
          <w:sz w:val="24"/>
          <w:szCs w:val="24"/>
        </w:rPr>
        <w:t xml:space="preserve"> researcher</w:t>
      </w:r>
      <w:r w:rsidR="00465411" w:rsidRPr="00D801A9">
        <w:rPr>
          <w:rFonts w:ascii="Times New Roman" w:hAnsi="Times New Roman" w:cs="Times New Roman"/>
          <w:sz w:val="24"/>
          <w:szCs w:val="24"/>
        </w:rPr>
        <w:t>s found that premiums are lower</w:t>
      </w:r>
      <w:r w:rsidR="001C74F3" w:rsidRPr="00D801A9">
        <w:rPr>
          <w:rFonts w:ascii="Times New Roman" w:hAnsi="Times New Roman" w:cs="Times New Roman"/>
          <w:sz w:val="24"/>
          <w:szCs w:val="24"/>
        </w:rPr>
        <w:t xml:space="preserve"> for stocks with low transactions cost</w:t>
      </w:r>
      <w:r w:rsidR="00465411" w:rsidRPr="00D801A9">
        <w:rPr>
          <w:rFonts w:ascii="Times New Roman" w:hAnsi="Times New Roman" w:cs="Times New Roman"/>
          <w:sz w:val="24"/>
          <w:szCs w:val="24"/>
        </w:rPr>
        <w:t>s</w:t>
      </w:r>
      <w:r w:rsidR="001C74F3" w:rsidRPr="00D801A9">
        <w:rPr>
          <w:rFonts w:ascii="Times New Roman" w:hAnsi="Times New Roman" w:cs="Times New Roman"/>
          <w:sz w:val="24"/>
          <w:szCs w:val="24"/>
        </w:rPr>
        <w:t xml:space="preserve">, </w:t>
      </w:r>
      <w:r w:rsidR="00465411" w:rsidRPr="00D801A9">
        <w:rPr>
          <w:rFonts w:ascii="Times New Roman" w:hAnsi="Times New Roman" w:cs="Times New Roman"/>
          <w:sz w:val="24"/>
          <w:szCs w:val="24"/>
        </w:rPr>
        <w:t xml:space="preserve">(Karpoff &amp;Walking; </w:t>
      </w:r>
      <w:r w:rsidR="001C74F3" w:rsidRPr="00D801A9">
        <w:rPr>
          <w:rFonts w:ascii="Times New Roman" w:hAnsi="Times New Roman" w:cs="Times New Roman"/>
          <w:sz w:val="24"/>
          <w:szCs w:val="24"/>
        </w:rPr>
        <w:t>1988,</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1990). Michaely and Vila (1996) found evidence of abnormal trading volume a</w:t>
      </w:r>
      <w:r w:rsidR="00465411" w:rsidRPr="00D801A9">
        <w:rPr>
          <w:rFonts w:ascii="Times New Roman" w:hAnsi="Times New Roman" w:cs="Times New Roman"/>
          <w:sz w:val="24"/>
          <w:szCs w:val="24"/>
        </w:rPr>
        <w:t>round</w:t>
      </w:r>
      <w:r w:rsidR="00076ECE" w:rsidRPr="00D801A9">
        <w:rPr>
          <w:rFonts w:ascii="Times New Roman" w:hAnsi="Times New Roman" w:cs="Times New Roman"/>
          <w:sz w:val="24"/>
          <w:szCs w:val="24"/>
        </w:rPr>
        <w:t xml:space="preserve"> the ex-dividend day and a negative</w:t>
      </w:r>
      <w:r w:rsidRPr="00D801A9">
        <w:rPr>
          <w:rFonts w:ascii="Times New Roman" w:hAnsi="Times New Roman" w:cs="Times New Roman"/>
          <w:sz w:val="24"/>
          <w:szCs w:val="24"/>
        </w:rPr>
        <w:t xml:space="preserve"> correlation</w:t>
      </w:r>
      <w:r w:rsidR="001C74F3" w:rsidRPr="00D801A9">
        <w:rPr>
          <w:rFonts w:ascii="Times New Roman" w:hAnsi="Times New Roman" w:cs="Times New Roman"/>
          <w:sz w:val="24"/>
          <w:szCs w:val="24"/>
        </w:rPr>
        <w:t xml:space="preserve"> with transaction costs and risk. </w:t>
      </w:r>
    </w:p>
    <w:p w:rsidR="00C251D6" w:rsidRPr="00D801A9" w:rsidRDefault="002B6041" w:rsidP="00D801A9">
      <w:pPr>
        <w:shd w:val="clear" w:color="auto" w:fill="FFFFFF"/>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 xml:space="preserve">Regarding to models based on Asymmetric information, Miller and Modigliani (1961) </w:t>
      </w:r>
      <w:r w:rsidRPr="00D801A9">
        <w:rPr>
          <w:rFonts w:ascii="Times New Roman" w:hAnsi="Times New Roman" w:cs="Times New Roman"/>
          <w:sz w:val="24"/>
          <w:szCs w:val="24"/>
        </w:rPr>
        <w:t>explained</w:t>
      </w:r>
      <w:r w:rsidR="001C74F3" w:rsidRPr="00D801A9">
        <w:rPr>
          <w:rFonts w:ascii="Times New Roman" w:hAnsi="Times New Roman" w:cs="Times New Roman"/>
          <w:sz w:val="24"/>
          <w:szCs w:val="24"/>
        </w:rPr>
        <w:t xml:space="preserve"> that if managers have better information than shareholders about the cash flows of the firm, then dividends may convey information about future earnings. That is the idea behind the Signaling theory</w:t>
      </w:r>
      <w:r w:rsidR="008C2729"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there are lots of researchers that consider firms intentionally change dividends, at some cost, to send a signal to the market. Bhattacharya (1979) found that signaling cost is the c</w:t>
      </w:r>
      <w:r w:rsidR="00F67747" w:rsidRPr="00D801A9">
        <w:rPr>
          <w:rFonts w:ascii="Times New Roman" w:hAnsi="Times New Roman" w:cs="Times New Roman"/>
          <w:sz w:val="24"/>
          <w:szCs w:val="24"/>
        </w:rPr>
        <w:t>ost of raising external capital.</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Miller and Rock (1985) consider that signaling cost is sub-optimal investm</w:t>
      </w:r>
      <w:r w:rsidR="00F67747" w:rsidRPr="00D801A9">
        <w:rPr>
          <w:rFonts w:ascii="Times New Roman" w:hAnsi="Times New Roman" w:cs="Times New Roman"/>
          <w:sz w:val="24"/>
          <w:szCs w:val="24"/>
        </w:rPr>
        <w:t>ent.</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 xml:space="preserve">John and Williams (1985) found that signaling cost is dividend taxation. Allen, Bernardo, and Welch (2000) pointed out that signaling cost is more monitoring by institutions. Main empirical predictions </w:t>
      </w:r>
      <w:r w:rsidR="002C391E" w:rsidRPr="00D801A9">
        <w:rPr>
          <w:rFonts w:ascii="Times New Roman" w:hAnsi="Times New Roman" w:cs="Times New Roman"/>
          <w:sz w:val="24"/>
          <w:szCs w:val="24"/>
        </w:rPr>
        <w:t xml:space="preserve">of signaling models consider: </w:t>
      </w:r>
      <w:r w:rsidR="001C74F3" w:rsidRPr="00D801A9">
        <w:rPr>
          <w:rFonts w:ascii="Times New Roman" w:hAnsi="Times New Roman" w:cs="Times New Roman"/>
          <w:sz w:val="24"/>
          <w:szCs w:val="24"/>
        </w:rPr>
        <w:t>unexpected</w:t>
      </w:r>
      <w:r w:rsidR="00AA3211" w:rsidRPr="00D801A9">
        <w:rPr>
          <w:rFonts w:ascii="Times New Roman" w:hAnsi="Times New Roman" w:cs="Times New Roman"/>
          <w:sz w:val="24"/>
          <w:szCs w:val="24"/>
        </w:rPr>
        <w:t xml:space="preserve"> dividend </w:t>
      </w:r>
      <w:r w:rsidR="00AA3211" w:rsidRPr="00D801A9">
        <w:rPr>
          <w:rFonts w:ascii="Times New Roman" w:hAnsi="Times New Roman" w:cs="Times New Roman"/>
          <w:sz w:val="24"/>
          <w:szCs w:val="24"/>
        </w:rPr>
        <w:lastRenderedPageBreak/>
        <w:t>changes</w:t>
      </w:r>
      <w:r w:rsidR="001C74F3" w:rsidRPr="00D801A9">
        <w:rPr>
          <w:rFonts w:ascii="Times New Roman" w:hAnsi="Times New Roman" w:cs="Times New Roman"/>
          <w:sz w:val="24"/>
          <w:szCs w:val="24"/>
        </w:rPr>
        <w:t>, will be associated with price c</w:t>
      </w:r>
      <w:r w:rsidR="002C391E" w:rsidRPr="00D801A9">
        <w:rPr>
          <w:rFonts w:ascii="Times New Roman" w:hAnsi="Times New Roman" w:cs="Times New Roman"/>
          <w:sz w:val="24"/>
          <w:szCs w:val="24"/>
        </w:rPr>
        <w:t>hanges in the same direction</w:t>
      </w:r>
      <w:r w:rsidR="00AA3211" w:rsidRPr="00D801A9">
        <w:rPr>
          <w:rFonts w:ascii="Times New Roman" w:hAnsi="Times New Roman" w:cs="Times New Roman"/>
          <w:sz w:val="24"/>
          <w:szCs w:val="24"/>
        </w:rPr>
        <w:t>, d</w:t>
      </w:r>
      <w:r w:rsidR="001C74F3" w:rsidRPr="00D801A9">
        <w:rPr>
          <w:rFonts w:ascii="Times New Roman" w:hAnsi="Times New Roman" w:cs="Times New Roman"/>
          <w:sz w:val="24"/>
          <w:szCs w:val="24"/>
        </w:rPr>
        <w:t>ividend changes will be associated with future earnings chan</w:t>
      </w:r>
      <w:r w:rsidR="002C391E" w:rsidRPr="00D801A9">
        <w:rPr>
          <w:rFonts w:ascii="Times New Roman" w:hAnsi="Times New Roman" w:cs="Times New Roman"/>
          <w:sz w:val="24"/>
          <w:szCs w:val="24"/>
        </w:rPr>
        <w:t>ge in the same direction, and</w:t>
      </w:r>
      <w:r w:rsidR="0032329D" w:rsidRPr="00D801A9">
        <w:rPr>
          <w:rFonts w:ascii="Times New Roman" w:hAnsi="Times New Roman" w:cs="Times New Roman"/>
          <w:sz w:val="24"/>
          <w:szCs w:val="24"/>
        </w:rPr>
        <w:t xml:space="preserve"> </w:t>
      </w:r>
      <w:r w:rsidR="002C391E" w:rsidRPr="00D801A9">
        <w:rPr>
          <w:rFonts w:ascii="Times New Roman" w:hAnsi="Times New Roman" w:cs="Times New Roman"/>
          <w:sz w:val="24"/>
          <w:szCs w:val="24"/>
        </w:rPr>
        <w:t>d</w:t>
      </w:r>
      <w:r w:rsidR="001C74F3" w:rsidRPr="00D801A9">
        <w:rPr>
          <w:rFonts w:ascii="Times New Roman" w:hAnsi="Times New Roman" w:cs="Times New Roman"/>
          <w:sz w:val="24"/>
          <w:szCs w:val="24"/>
        </w:rPr>
        <w:t>ividend changes will be associated with changes in expectations about future earnings in the same direction. The empirical evidence is almost universal agreement that positive (negative) dividend changes are associated with positive (neg</w:t>
      </w:r>
      <w:r w:rsidR="003805B3" w:rsidRPr="00D801A9">
        <w:rPr>
          <w:rFonts w:ascii="Times New Roman" w:hAnsi="Times New Roman" w:cs="Times New Roman"/>
          <w:sz w:val="24"/>
          <w:szCs w:val="24"/>
        </w:rPr>
        <w:t>ative) changes in stock prices (Aharony &amp;</w:t>
      </w:r>
      <w:r w:rsidR="001C74F3" w:rsidRPr="00D801A9">
        <w:rPr>
          <w:rFonts w:ascii="Times New Roman" w:hAnsi="Times New Roman" w:cs="Times New Roman"/>
          <w:sz w:val="24"/>
          <w:szCs w:val="24"/>
        </w:rPr>
        <w:t>Swary</w:t>
      </w:r>
      <w:r w:rsidR="003805B3" w:rsidRPr="00D801A9">
        <w:rPr>
          <w:rFonts w:ascii="Times New Roman" w:hAnsi="Times New Roman" w:cs="Times New Roman"/>
          <w:sz w:val="24"/>
          <w:szCs w:val="24"/>
        </w:rPr>
        <w:t>, 1980;</w:t>
      </w:r>
      <w:r w:rsidR="001C74F3" w:rsidRPr="00D801A9">
        <w:rPr>
          <w:rFonts w:ascii="Times New Roman" w:hAnsi="Times New Roman" w:cs="Times New Roman"/>
          <w:sz w:val="24"/>
          <w:szCs w:val="24"/>
        </w:rPr>
        <w:t xml:space="preserve"> Asquith and Mullins (1983), Kalay and Loewenstein (1985), and Michaely, Thaler, and Womack (1995) support these findings. There is also some evidence that market expectations through analyst’s forecasts move in the same direction as change in dividends. Ofer and Siegel (1987), and Yoon and Starks (1995) are some of them. Finally, there is a debate on whether dividend changes predict actual changes in future earnings, Watts (1973), </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Gonedes (1978), Bernartzi, Michaely, and Thaler (1997), and Grullon, Michaely, Benartzi, and Thaler (2005) found that, dividends are unrelated to future earnings changes. At worst, they are negatively related. It means that dividend decrease</w:t>
      </w:r>
      <w:r w:rsidR="00405A96" w:rsidRPr="00D801A9">
        <w:rPr>
          <w:rFonts w:ascii="Times New Roman" w:hAnsi="Times New Roman" w:cs="Times New Roman"/>
          <w:sz w:val="24"/>
          <w:szCs w:val="24"/>
        </w:rPr>
        <w:t>s</w:t>
      </w:r>
      <w:r w:rsidR="001C74F3" w:rsidRPr="00D801A9">
        <w:rPr>
          <w:rFonts w:ascii="Times New Roman" w:hAnsi="Times New Roman" w:cs="Times New Roman"/>
          <w:sz w:val="24"/>
          <w:szCs w:val="24"/>
        </w:rPr>
        <w:t xml:space="preserve"> are associated with subsequent earnings increases, and </w:t>
      </w:r>
      <w:r w:rsidR="0032329D" w:rsidRPr="00D801A9">
        <w:rPr>
          <w:rFonts w:ascii="Times New Roman" w:hAnsi="Times New Roman" w:cs="Times New Roman"/>
          <w:sz w:val="24"/>
          <w:szCs w:val="24"/>
        </w:rPr>
        <w:t>d</w:t>
      </w:r>
      <w:r w:rsidR="001C74F3" w:rsidRPr="00D801A9">
        <w:rPr>
          <w:rFonts w:ascii="Times New Roman" w:hAnsi="Times New Roman" w:cs="Times New Roman"/>
          <w:sz w:val="24"/>
          <w:szCs w:val="24"/>
        </w:rPr>
        <w:t xml:space="preserve">ividend increases are associated with either no change or negative change in future earnings. Most of the positive relationship between dividend changes and concurrent changes in earnings can be attributed to dividend announcements occurring in the last </w:t>
      </w:r>
      <w:r w:rsidR="00405A96" w:rsidRPr="00D801A9">
        <w:rPr>
          <w:rFonts w:ascii="Times New Roman" w:hAnsi="Times New Roman" w:cs="Times New Roman"/>
          <w:sz w:val="24"/>
          <w:szCs w:val="24"/>
        </w:rPr>
        <w:t>six</w:t>
      </w:r>
      <w:r w:rsidR="001C74F3" w:rsidRPr="00D801A9">
        <w:rPr>
          <w:rFonts w:ascii="Times New Roman" w:hAnsi="Times New Roman" w:cs="Times New Roman"/>
          <w:sz w:val="24"/>
          <w:szCs w:val="24"/>
        </w:rPr>
        <w:t xml:space="preserve"> months of the year after some of the earnings information is known. The opposite position</w:t>
      </w:r>
      <w:r w:rsidR="00405A96"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defended by Healy and Palepu (1998), Aharony and Dotan (1994) and Nissim and Ziv (2001)</w:t>
      </w:r>
      <w:r w:rsidR="00405A96"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point</w:t>
      </w:r>
      <w:r w:rsidR="00405A96" w:rsidRPr="00D801A9">
        <w:rPr>
          <w:rFonts w:ascii="Times New Roman" w:hAnsi="Times New Roman" w:cs="Times New Roman"/>
          <w:sz w:val="24"/>
          <w:szCs w:val="24"/>
        </w:rPr>
        <w:t xml:space="preserve">s </w:t>
      </w:r>
      <w:r w:rsidR="001C74F3" w:rsidRPr="00D801A9">
        <w:rPr>
          <w:rFonts w:ascii="Times New Roman" w:hAnsi="Times New Roman" w:cs="Times New Roman"/>
          <w:sz w:val="24"/>
          <w:szCs w:val="24"/>
        </w:rPr>
        <w:t xml:space="preserve">out that dividends can predict the changes in future earnings, however the latter paper has weak evidence due to some econometrics issues. </w:t>
      </w:r>
    </w:p>
    <w:p w:rsidR="007E1EE2" w:rsidRPr="00D801A9" w:rsidRDefault="00405A96"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 xml:space="preserve">According to </w:t>
      </w:r>
      <w:r w:rsidR="00E36C1F" w:rsidRPr="00D801A9">
        <w:rPr>
          <w:rFonts w:ascii="Times New Roman" w:hAnsi="Times New Roman" w:cs="Times New Roman"/>
          <w:sz w:val="24"/>
          <w:szCs w:val="24"/>
        </w:rPr>
        <w:t xml:space="preserve">the </w:t>
      </w:r>
      <w:r w:rsidR="001C74F3" w:rsidRPr="00D801A9">
        <w:rPr>
          <w:rFonts w:ascii="Times New Roman" w:hAnsi="Times New Roman" w:cs="Times New Roman"/>
          <w:sz w:val="24"/>
          <w:szCs w:val="24"/>
        </w:rPr>
        <w:t>Maturity Hypothesis, a dividend increase indicates that the firm has matured. It has fewer growth opportunities available resulting in declining growth and profitability, and at the same time becomes less risky. Risk declines because when a firm becomes mature, it has fewer growth options in its portfolio. Since growth options are typically more risky than assets-in-place, a decline in the proportion of growth options in a firm’s portfolio will, in turn, cause a decline in the systematic risk of the firm. While less growth opportunities will tend to reduce firm value, the lower risk class will have the tendency to increase its value. Therefore, any attempt to explain the price reaction to dividend changes has to rely</w:t>
      </w:r>
      <w:r w:rsidR="008803D1"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a</w:t>
      </w:r>
      <w:r w:rsidR="008803D1" w:rsidRPr="00D801A9">
        <w:rPr>
          <w:rFonts w:ascii="Times New Roman" w:hAnsi="Times New Roman" w:cs="Times New Roman"/>
          <w:sz w:val="24"/>
          <w:szCs w:val="24"/>
        </w:rPr>
        <w:t>t</w:t>
      </w:r>
      <w:r w:rsidR="001C74F3" w:rsidRPr="00D801A9">
        <w:rPr>
          <w:rFonts w:ascii="Times New Roman" w:hAnsi="Times New Roman" w:cs="Times New Roman"/>
          <w:sz w:val="24"/>
          <w:szCs w:val="24"/>
        </w:rPr>
        <w:t xml:space="preserve"> least partially</w:t>
      </w:r>
      <w:r w:rsidR="008803D1" w:rsidRPr="00D801A9">
        <w:rPr>
          <w:rFonts w:ascii="Times New Roman" w:hAnsi="Times New Roman" w:cs="Times New Roman"/>
          <w:sz w:val="24"/>
          <w:szCs w:val="24"/>
        </w:rPr>
        <w:t>, on the risk effect (</w:t>
      </w:r>
      <w:r w:rsidR="001C74F3" w:rsidRPr="00D801A9">
        <w:rPr>
          <w:rFonts w:ascii="Times New Roman" w:hAnsi="Times New Roman" w:cs="Times New Roman"/>
          <w:sz w:val="24"/>
          <w:szCs w:val="24"/>
        </w:rPr>
        <w:t>Grull</w:t>
      </w:r>
      <w:r w:rsidR="008803D1" w:rsidRPr="00D801A9">
        <w:rPr>
          <w:rFonts w:ascii="Times New Roman" w:hAnsi="Times New Roman" w:cs="Times New Roman"/>
          <w:sz w:val="24"/>
          <w:szCs w:val="24"/>
        </w:rPr>
        <w:t xml:space="preserve">on, Michaely &amp; Swaminathan, </w:t>
      </w:r>
      <w:r w:rsidR="001C74F3" w:rsidRPr="00D801A9">
        <w:rPr>
          <w:rFonts w:ascii="Times New Roman" w:hAnsi="Times New Roman" w:cs="Times New Roman"/>
          <w:sz w:val="24"/>
          <w:szCs w:val="24"/>
        </w:rPr>
        <w:t xml:space="preserve">2002). </w:t>
      </w:r>
    </w:p>
    <w:p w:rsidR="00C251D6" w:rsidRPr="00D801A9" w:rsidRDefault="007E1EE2"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 xml:space="preserve">The models based on agency problems explain the </w:t>
      </w:r>
      <w:r w:rsidRPr="00D801A9">
        <w:rPr>
          <w:rFonts w:ascii="Times New Roman" w:hAnsi="Times New Roman" w:cs="Times New Roman"/>
          <w:sz w:val="24"/>
          <w:szCs w:val="24"/>
        </w:rPr>
        <w:t>f</w:t>
      </w:r>
      <w:r w:rsidR="001C74F3" w:rsidRPr="00D801A9">
        <w:rPr>
          <w:rFonts w:ascii="Times New Roman" w:hAnsi="Times New Roman" w:cs="Times New Roman"/>
          <w:sz w:val="24"/>
          <w:szCs w:val="24"/>
        </w:rPr>
        <w:t>ree cash flow hypothesis that consider</w:t>
      </w:r>
      <w:r w:rsidRPr="00D801A9">
        <w:rPr>
          <w:rFonts w:ascii="Times New Roman" w:hAnsi="Times New Roman" w:cs="Times New Roman"/>
          <w:sz w:val="24"/>
          <w:szCs w:val="24"/>
        </w:rPr>
        <w:t>s</w:t>
      </w:r>
      <w:r w:rsidR="001C74F3" w:rsidRPr="00D801A9">
        <w:rPr>
          <w:rFonts w:ascii="Times New Roman" w:hAnsi="Times New Roman" w:cs="Times New Roman"/>
          <w:sz w:val="24"/>
          <w:szCs w:val="24"/>
        </w:rPr>
        <w:t xml:space="preserve"> profits may be diverted by insiders for personal use, or committed to unprofitable </w:t>
      </w:r>
      <w:r w:rsidR="001C74F3" w:rsidRPr="00D801A9">
        <w:rPr>
          <w:rFonts w:ascii="Times New Roman" w:hAnsi="Times New Roman" w:cs="Times New Roman"/>
          <w:sz w:val="24"/>
          <w:szCs w:val="24"/>
        </w:rPr>
        <w:lastRenderedPageBreak/>
        <w:t>projects that provide private benefits to insiders. Since corporate payouts reduce the amount of excess cash available to managers, th</w:t>
      </w:r>
      <w:r w:rsidRPr="00D801A9">
        <w:rPr>
          <w:rFonts w:ascii="Times New Roman" w:hAnsi="Times New Roman" w:cs="Times New Roman"/>
          <w:sz w:val="24"/>
          <w:szCs w:val="24"/>
        </w:rPr>
        <w:t>is</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also reduce</w:t>
      </w:r>
      <w:r w:rsidRPr="00D801A9">
        <w:rPr>
          <w:rFonts w:ascii="Times New Roman" w:hAnsi="Times New Roman" w:cs="Times New Roman"/>
          <w:sz w:val="24"/>
          <w:szCs w:val="24"/>
        </w:rPr>
        <w:t>s</w:t>
      </w:r>
      <w:r w:rsidR="001C74F3" w:rsidRPr="00D801A9">
        <w:rPr>
          <w:rFonts w:ascii="Times New Roman" w:hAnsi="Times New Roman" w:cs="Times New Roman"/>
          <w:sz w:val="24"/>
          <w:szCs w:val="24"/>
        </w:rPr>
        <w:t xml:space="preserve"> the likelihood that manag</w:t>
      </w:r>
      <w:r w:rsidR="009A75F4" w:rsidRPr="00D801A9">
        <w:rPr>
          <w:rFonts w:ascii="Times New Roman" w:hAnsi="Times New Roman" w:cs="Times New Roman"/>
          <w:sz w:val="24"/>
          <w:szCs w:val="24"/>
        </w:rPr>
        <w:t xml:space="preserve">ers will invest in bad projects(Jensen, </w:t>
      </w:r>
      <w:r w:rsidR="001C74F3" w:rsidRPr="00D801A9">
        <w:rPr>
          <w:rFonts w:ascii="Times New Roman" w:hAnsi="Times New Roman" w:cs="Times New Roman"/>
          <w:sz w:val="24"/>
          <w:szCs w:val="24"/>
        </w:rPr>
        <w:t>1986). Low-grow</w:t>
      </w:r>
      <w:r w:rsidR="009A75F4" w:rsidRPr="00D801A9">
        <w:rPr>
          <w:rFonts w:ascii="Times New Roman" w:hAnsi="Times New Roman" w:cs="Times New Roman"/>
          <w:sz w:val="24"/>
          <w:szCs w:val="24"/>
        </w:rPr>
        <w:t>th</w:t>
      </w:r>
      <w:r w:rsidR="001C74F3" w:rsidRPr="00D801A9">
        <w:rPr>
          <w:rFonts w:ascii="Times New Roman" w:hAnsi="Times New Roman" w:cs="Times New Roman"/>
          <w:sz w:val="24"/>
          <w:szCs w:val="24"/>
        </w:rPr>
        <w:t xml:space="preserve"> profitable firms are more likely to generate free cash flows, </w:t>
      </w:r>
      <w:r w:rsidR="009A75F4" w:rsidRPr="00D801A9">
        <w:rPr>
          <w:rFonts w:ascii="Times New Roman" w:hAnsi="Times New Roman" w:cs="Times New Roman"/>
          <w:sz w:val="24"/>
          <w:szCs w:val="24"/>
        </w:rPr>
        <w:t>(Lang &amp;</w:t>
      </w:r>
      <w:r w:rsidR="001C74F3" w:rsidRPr="00D801A9">
        <w:rPr>
          <w:rFonts w:ascii="Times New Roman" w:hAnsi="Times New Roman" w:cs="Times New Roman"/>
          <w:sz w:val="24"/>
          <w:szCs w:val="24"/>
        </w:rPr>
        <w:t xml:space="preserve"> Lit</w:t>
      </w:r>
      <w:r w:rsidR="009A75F4" w:rsidRPr="00D801A9">
        <w:rPr>
          <w:rFonts w:ascii="Times New Roman" w:hAnsi="Times New Roman" w:cs="Times New Roman"/>
          <w:sz w:val="24"/>
          <w:szCs w:val="24"/>
        </w:rPr>
        <w:t xml:space="preserve">zenberger, </w:t>
      </w:r>
      <w:r w:rsidR="001C74F3" w:rsidRPr="00D801A9">
        <w:rPr>
          <w:rFonts w:ascii="Times New Roman" w:hAnsi="Times New Roman" w:cs="Times New Roman"/>
          <w:sz w:val="24"/>
          <w:szCs w:val="24"/>
        </w:rPr>
        <w:t>1989</w:t>
      </w:r>
      <w:r w:rsidR="009A75F4"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Grullon </w:t>
      </w:r>
      <w:r w:rsidR="009A75F4" w:rsidRPr="00D801A9">
        <w:rPr>
          <w:rFonts w:ascii="Times New Roman" w:hAnsi="Times New Roman" w:cs="Times New Roman"/>
          <w:sz w:val="24"/>
          <w:szCs w:val="24"/>
        </w:rPr>
        <w:t xml:space="preserve">&amp; Michaely, </w:t>
      </w:r>
      <w:r w:rsidR="00C662AE" w:rsidRPr="00D801A9">
        <w:rPr>
          <w:rFonts w:ascii="Times New Roman" w:hAnsi="Times New Roman" w:cs="Times New Roman"/>
          <w:sz w:val="24"/>
          <w:szCs w:val="24"/>
        </w:rPr>
        <w:t>2004).  In contrast,</w:t>
      </w:r>
      <w:r w:rsidR="001C74F3" w:rsidRPr="00D801A9">
        <w:rPr>
          <w:rFonts w:ascii="Times New Roman" w:hAnsi="Times New Roman" w:cs="Times New Roman"/>
          <w:sz w:val="24"/>
          <w:szCs w:val="24"/>
        </w:rPr>
        <w:t xml:space="preserve"> Yoon and Starks (1995) </w:t>
      </w:r>
      <w:r w:rsidR="00F5508E" w:rsidRPr="00D801A9">
        <w:rPr>
          <w:rFonts w:ascii="Times New Roman" w:hAnsi="Times New Roman" w:cs="Times New Roman"/>
          <w:sz w:val="24"/>
          <w:szCs w:val="24"/>
        </w:rPr>
        <w:t>disagree</w:t>
      </w:r>
      <w:r w:rsidR="001C74F3" w:rsidRPr="00D801A9">
        <w:rPr>
          <w:rFonts w:ascii="Times New Roman" w:hAnsi="Times New Roman" w:cs="Times New Roman"/>
          <w:sz w:val="24"/>
          <w:szCs w:val="24"/>
        </w:rPr>
        <w:t xml:space="preserve">. Finally </w:t>
      </w:r>
      <w:r w:rsidR="00A6184B" w:rsidRPr="00D801A9">
        <w:rPr>
          <w:rFonts w:ascii="Times New Roman" w:hAnsi="Times New Roman" w:cs="Times New Roman"/>
          <w:sz w:val="24"/>
          <w:szCs w:val="24"/>
        </w:rPr>
        <w:t>an</w:t>
      </w:r>
      <w:r w:rsidR="001C74F3" w:rsidRPr="00D801A9">
        <w:rPr>
          <w:rFonts w:ascii="Times New Roman" w:hAnsi="Times New Roman" w:cs="Times New Roman"/>
          <w:sz w:val="24"/>
          <w:szCs w:val="24"/>
        </w:rPr>
        <w:t xml:space="preserve"> explication of</w:t>
      </w:r>
      <w:r w:rsidR="0032329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 xml:space="preserve">dividend payout policy is </w:t>
      </w:r>
      <w:r w:rsidR="00F5508E" w:rsidRPr="00D801A9">
        <w:rPr>
          <w:rFonts w:ascii="Times New Roman" w:hAnsi="Times New Roman" w:cs="Times New Roman"/>
          <w:sz w:val="24"/>
          <w:szCs w:val="24"/>
        </w:rPr>
        <w:t>provided</w:t>
      </w:r>
      <w:r w:rsidR="001C74F3" w:rsidRPr="00D801A9">
        <w:rPr>
          <w:rFonts w:ascii="Times New Roman" w:hAnsi="Times New Roman" w:cs="Times New Roman"/>
          <w:sz w:val="24"/>
          <w:szCs w:val="24"/>
        </w:rPr>
        <w:t xml:space="preserve"> by the</w:t>
      </w:r>
      <w:r w:rsidR="00F5508E" w:rsidRPr="00D801A9">
        <w:rPr>
          <w:rFonts w:ascii="Times New Roman" w:hAnsi="Times New Roman" w:cs="Times New Roman"/>
          <w:sz w:val="24"/>
          <w:szCs w:val="24"/>
        </w:rPr>
        <w:t xml:space="preserve"> Outcome and Substitution Model as outlined by</w:t>
      </w:r>
      <w:r w:rsidR="001C74F3" w:rsidRPr="00D801A9">
        <w:rPr>
          <w:rFonts w:ascii="Times New Roman" w:hAnsi="Times New Roman" w:cs="Times New Roman"/>
          <w:sz w:val="24"/>
          <w:szCs w:val="24"/>
        </w:rPr>
        <w:t xml:space="preserve"> La Porta, Lopez-de-Silanes, Shleifer, and Vishny (2000)</w:t>
      </w:r>
      <w:r w:rsidR="00A6184B" w:rsidRPr="00D801A9">
        <w:rPr>
          <w:rFonts w:ascii="Times New Roman" w:hAnsi="Times New Roman" w:cs="Times New Roman"/>
          <w:sz w:val="24"/>
          <w:szCs w:val="24"/>
        </w:rPr>
        <w:t xml:space="preserve">.  The authors </w:t>
      </w:r>
      <w:r w:rsidR="00DE0017" w:rsidRPr="00D801A9">
        <w:rPr>
          <w:rFonts w:ascii="Times New Roman" w:hAnsi="Times New Roman" w:cs="Times New Roman"/>
          <w:sz w:val="24"/>
          <w:szCs w:val="24"/>
        </w:rPr>
        <w:t>t</w:t>
      </w:r>
      <w:r w:rsidR="001C74F3" w:rsidRPr="00D801A9">
        <w:rPr>
          <w:rFonts w:ascii="Times New Roman" w:hAnsi="Times New Roman" w:cs="Times New Roman"/>
          <w:sz w:val="24"/>
          <w:szCs w:val="24"/>
        </w:rPr>
        <w:t>est</w:t>
      </w:r>
      <w:r w:rsidR="00DE0017" w:rsidRPr="00D801A9">
        <w:rPr>
          <w:rFonts w:ascii="Times New Roman" w:hAnsi="Times New Roman" w:cs="Times New Roman"/>
          <w:sz w:val="24"/>
          <w:szCs w:val="24"/>
        </w:rPr>
        <w:t xml:space="preserve"> two agency models of dividends.  T</w:t>
      </w:r>
      <w:r w:rsidR="001C74F3" w:rsidRPr="00D801A9">
        <w:rPr>
          <w:rFonts w:ascii="Times New Roman" w:hAnsi="Times New Roman" w:cs="Times New Roman"/>
          <w:sz w:val="24"/>
          <w:szCs w:val="24"/>
        </w:rPr>
        <w:t xml:space="preserve">he first </w:t>
      </w:r>
      <w:r w:rsidR="006E3AFA" w:rsidRPr="00D801A9">
        <w:rPr>
          <w:rFonts w:ascii="Times New Roman" w:hAnsi="Times New Roman" w:cs="Times New Roman"/>
          <w:sz w:val="24"/>
          <w:szCs w:val="24"/>
        </w:rPr>
        <w:t>tests</w:t>
      </w:r>
      <w:r w:rsidR="0032329D" w:rsidRPr="00D801A9">
        <w:rPr>
          <w:rFonts w:ascii="Times New Roman" w:hAnsi="Times New Roman" w:cs="Times New Roman"/>
          <w:sz w:val="24"/>
          <w:szCs w:val="24"/>
        </w:rPr>
        <w:t xml:space="preserve"> </w:t>
      </w:r>
      <w:r w:rsidR="006E3AFA" w:rsidRPr="00D801A9">
        <w:rPr>
          <w:rFonts w:ascii="Times New Roman" w:hAnsi="Times New Roman" w:cs="Times New Roman"/>
          <w:sz w:val="24"/>
          <w:szCs w:val="24"/>
        </w:rPr>
        <w:t xml:space="preserve">whether </w:t>
      </w:r>
      <w:r w:rsidR="001C74F3" w:rsidRPr="00D801A9">
        <w:rPr>
          <w:rFonts w:ascii="Times New Roman" w:hAnsi="Times New Roman" w:cs="Times New Roman"/>
          <w:sz w:val="24"/>
          <w:szCs w:val="24"/>
        </w:rPr>
        <w:t>dividends a</w:t>
      </w:r>
      <w:r w:rsidR="006E3AFA" w:rsidRPr="00D801A9">
        <w:rPr>
          <w:rFonts w:ascii="Times New Roman" w:hAnsi="Times New Roman" w:cs="Times New Roman"/>
          <w:sz w:val="24"/>
          <w:szCs w:val="24"/>
        </w:rPr>
        <w:t>re</w:t>
      </w:r>
      <w:r w:rsidR="001C74F3" w:rsidRPr="00D801A9">
        <w:rPr>
          <w:rFonts w:ascii="Times New Roman" w:hAnsi="Times New Roman" w:cs="Times New Roman"/>
          <w:sz w:val="24"/>
          <w:szCs w:val="24"/>
        </w:rPr>
        <w:t xml:space="preserve"> an outcome of legal protection of stockholders</w:t>
      </w:r>
      <w:r w:rsidR="002E746C" w:rsidRPr="00D801A9">
        <w:rPr>
          <w:rFonts w:ascii="Times New Roman" w:hAnsi="Times New Roman" w:cs="Times New Roman"/>
          <w:sz w:val="24"/>
          <w:szCs w:val="24"/>
        </w:rPr>
        <w:t xml:space="preserve">.  In other words, </w:t>
      </w:r>
      <w:r w:rsidR="001C74F3" w:rsidRPr="00D801A9">
        <w:rPr>
          <w:rFonts w:ascii="Times New Roman" w:hAnsi="Times New Roman" w:cs="Times New Roman"/>
          <w:sz w:val="24"/>
          <w:szCs w:val="24"/>
        </w:rPr>
        <w:t>the better</w:t>
      </w:r>
      <w:r w:rsidR="00D40C97" w:rsidRPr="00D801A9">
        <w:rPr>
          <w:rFonts w:ascii="Times New Roman" w:hAnsi="Times New Roman" w:cs="Times New Roman"/>
          <w:sz w:val="24"/>
          <w:szCs w:val="24"/>
        </w:rPr>
        <w:t xml:space="preserve"> the</w:t>
      </w:r>
      <w:r w:rsidR="001C74F3" w:rsidRPr="00D801A9">
        <w:rPr>
          <w:rFonts w:ascii="Times New Roman" w:hAnsi="Times New Roman" w:cs="Times New Roman"/>
          <w:sz w:val="24"/>
          <w:szCs w:val="24"/>
        </w:rPr>
        <w:t xml:space="preserve"> investor protection, the higher </w:t>
      </w:r>
      <w:r w:rsidR="002E746C" w:rsidRPr="00D801A9">
        <w:rPr>
          <w:rFonts w:ascii="Times New Roman" w:hAnsi="Times New Roman" w:cs="Times New Roman"/>
          <w:sz w:val="24"/>
          <w:szCs w:val="24"/>
        </w:rPr>
        <w:t>the dividend payout</w:t>
      </w:r>
      <w:r w:rsidR="001C74F3" w:rsidRPr="00D801A9">
        <w:rPr>
          <w:rFonts w:ascii="Times New Roman" w:hAnsi="Times New Roman" w:cs="Times New Roman"/>
          <w:sz w:val="24"/>
          <w:szCs w:val="24"/>
        </w:rPr>
        <w:t xml:space="preserve">, and the better investor protection, the lower </w:t>
      </w:r>
      <w:r w:rsidR="002E746C" w:rsidRPr="00D801A9">
        <w:rPr>
          <w:rFonts w:ascii="Times New Roman" w:hAnsi="Times New Roman" w:cs="Times New Roman"/>
          <w:sz w:val="24"/>
          <w:szCs w:val="24"/>
        </w:rPr>
        <w:t>the dividend</w:t>
      </w:r>
      <w:r w:rsidR="001C74F3" w:rsidRPr="00D801A9">
        <w:rPr>
          <w:rFonts w:ascii="Times New Roman" w:hAnsi="Times New Roman" w:cs="Times New Roman"/>
          <w:sz w:val="24"/>
          <w:szCs w:val="24"/>
        </w:rPr>
        <w:t xml:space="preserve"> paid by high</w:t>
      </w:r>
      <w:r w:rsidR="00BB6A97" w:rsidRPr="00D801A9">
        <w:rPr>
          <w:rFonts w:ascii="Times New Roman" w:hAnsi="Times New Roman" w:cs="Times New Roman"/>
          <w:sz w:val="24"/>
          <w:szCs w:val="24"/>
        </w:rPr>
        <w:t xml:space="preserve"> growth companies compared to</w:t>
      </w:r>
      <w:r w:rsidR="001C74F3" w:rsidRPr="00D801A9">
        <w:rPr>
          <w:rFonts w:ascii="Times New Roman" w:hAnsi="Times New Roman" w:cs="Times New Roman"/>
          <w:sz w:val="24"/>
          <w:szCs w:val="24"/>
        </w:rPr>
        <w:t xml:space="preserve"> low growth companies. The second </w:t>
      </w:r>
      <w:r w:rsidR="00400730" w:rsidRPr="00D801A9">
        <w:rPr>
          <w:rFonts w:ascii="Times New Roman" w:hAnsi="Times New Roman" w:cs="Times New Roman"/>
          <w:sz w:val="24"/>
          <w:szCs w:val="24"/>
        </w:rPr>
        <w:t>tests</w:t>
      </w:r>
      <w:r w:rsidR="001C74F3" w:rsidRPr="00D801A9">
        <w:rPr>
          <w:rFonts w:ascii="Times New Roman" w:hAnsi="Times New Roman" w:cs="Times New Roman"/>
          <w:sz w:val="24"/>
          <w:szCs w:val="24"/>
        </w:rPr>
        <w:t xml:space="preserve"> that dividends a</w:t>
      </w:r>
      <w:r w:rsidR="00400730" w:rsidRPr="00D801A9">
        <w:rPr>
          <w:rFonts w:ascii="Times New Roman" w:hAnsi="Times New Roman" w:cs="Times New Roman"/>
          <w:sz w:val="24"/>
          <w:szCs w:val="24"/>
        </w:rPr>
        <w:t>re</w:t>
      </w:r>
      <w:r w:rsidR="001C74F3" w:rsidRPr="00D801A9">
        <w:rPr>
          <w:rFonts w:ascii="Times New Roman" w:hAnsi="Times New Roman" w:cs="Times New Roman"/>
          <w:sz w:val="24"/>
          <w:szCs w:val="24"/>
        </w:rPr>
        <w:t xml:space="preserve"> a substitute for legal protection of st</w:t>
      </w:r>
      <w:r w:rsidR="00400730" w:rsidRPr="00D801A9">
        <w:rPr>
          <w:rFonts w:ascii="Times New Roman" w:hAnsi="Times New Roman" w:cs="Times New Roman"/>
          <w:sz w:val="24"/>
          <w:szCs w:val="24"/>
        </w:rPr>
        <w:t>ock</w:t>
      </w:r>
      <w:r w:rsidR="001C74F3" w:rsidRPr="00D801A9">
        <w:rPr>
          <w:rFonts w:ascii="Times New Roman" w:hAnsi="Times New Roman" w:cs="Times New Roman"/>
          <w:sz w:val="24"/>
          <w:szCs w:val="24"/>
        </w:rPr>
        <w:t xml:space="preserve">holders, </w:t>
      </w:r>
      <w:r w:rsidR="00BB6A97" w:rsidRPr="00D801A9">
        <w:rPr>
          <w:rFonts w:ascii="Times New Roman" w:hAnsi="Times New Roman" w:cs="Times New Roman"/>
          <w:sz w:val="24"/>
          <w:szCs w:val="24"/>
        </w:rPr>
        <w:t>implying that</w:t>
      </w:r>
      <w:r w:rsidR="001C74F3" w:rsidRPr="00D801A9">
        <w:rPr>
          <w:rFonts w:ascii="Times New Roman" w:hAnsi="Times New Roman" w:cs="Times New Roman"/>
          <w:sz w:val="24"/>
          <w:szCs w:val="24"/>
        </w:rPr>
        <w:t xml:space="preserve"> the weaker</w:t>
      </w:r>
      <w:r w:rsidR="002D0A38" w:rsidRPr="00D801A9">
        <w:rPr>
          <w:rFonts w:ascii="Times New Roman" w:hAnsi="Times New Roman" w:cs="Times New Roman"/>
          <w:sz w:val="24"/>
          <w:szCs w:val="24"/>
        </w:rPr>
        <w:t xml:space="preserve"> the</w:t>
      </w:r>
      <w:r w:rsidR="001C74F3" w:rsidRPr="00D801A9">
        <w:rPr>
          <w:rFonts w:ascii="Times New Roman" w:hAnsi="Times New Roman" w:cs="Times New Roman"/>
          <w:sz w:val="24"/>
          <w:szCs w:val="24"/>
        </w:rPr>
        <w:t xml:space="preserve"> investor protection, the higher dividends payouts and the weaker investor protection, the higher dividends by high growth firms.</w:t>
      </w:r>
    </w:p>
    <w:p w:rsidR="00C251D6" w:rsidRPr="00D801A9" w:rsidRDefault="001C74F3" w:rsidP="00365375">
      <w:pPr>
        <w:spacing w:line="360" w:lineRule="auto"/>
        <w:jc w:val="center"/>
        <w:rPr>
          <w:rFonts w:ascii="Times New Roman" w:hAnsi="Times New Roman" w:cs="Times New Roman"/>
          <w:b/>
          <w:sz w:val="24"/>
          <w:szCs w:val="24"/>
        </w:rPr>
      </w:pPr>
      <w:r w:rsidRPr="00D801A9">
        <w:rPr>
          <w:rFonts w:ascii="Times New Roman" w:hAnsi="Times New Roman" w:cs="Times New Roman"/>
          <w:b/>
          <w:sz w:val="24"/>
          <w:szCs w:val="24"/>
        </w:rPr>
        <w:t>DATA AND METHODOLOGY:</w:t>
      </w:r>
    </w:p>
    <w:p w:rsidR="00C251D6" w:rsidRPr="00D801A9" w:rsidRDefault="002D0A38"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 xml:space="preserve">We </w:t>
      </w:r>
      <w:r w:rsidRPr="00D801A9">
        <w:rPr>
          <w:rFonts w:ascii="Times New Roman" w:hAnsi="Times New Roman" w:cs="Times New Roman"/>
          <w:sz w:val="24"/>
          <w:szCs w:val="24"/>
        </w:rPr>
        <w:t>obtained data</w:t>
      </w:r>
      <w:r w:rsidR="001C74F3" w:rsidRPr="00D801A9">
        <w:rPr>
          <w:rFonts w:ascii="Times New Roman" w:hAnsi="Times New Roman" w:cs="Times New Roman"/>
          <w:sz w:val="24"/>
          <w:szCs w:val="24"/>
        </w:rPr>
        <w:t xml:space="preserve"> from COMPUSTAT for all mining firms (SIC Code 1000 to 1400)</w:t>
      </w:r>
      <w:r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The data span from </w:t>
      </w:r>
      <w:r w:rsidRPr="00D801A9">
        <w:rPr>
          <w:rFonts w:ascii="Times New Roman" w:hAnsi="Times New Roman" w:cs="Times New Roman"/>
          <w:sz w:val="24"/>
          <w:szCs w:val="24"/>
        </w:rPr>
        <w:t>2002 – 2007, 2008 – 2009, and 2010 – 2013.  The</w:t>
      </w:r>
      <w:r w:rsidR="0032329D" w:rsidRPr="00D801A9">
        <w:rPr>
          <w:rFonts w:ascii="Times New Roman" w:hAnsi="Times New Roman" w:cs="Times New Roman"/>
          <w:sz w:val="24"/>
          <w:szCs w:val="24"/>
        </w:rPr>
        <w:t xml:space="preserve"> </w:t>
      </w:r>
      <w:r w:rsidRPr="00D801A9">
        <w:rPr>
          <w:rFonts w:ascii="Times New Roman" w:hAnsi="Times New Roman" w:cs="Times New Roman"/>
          <w:sz w:val="24"/>
          <w:szCs w:val="24"/>
        </w:rPr>
        <w:t>grouping of years accounts for</w:t>
      </w:r>
      <w:r w:rsidR="001C74F3" w:rsidRPr="00D801A9">
        <w:rPr>
          <w:rFonts w:ascii="Times New Roman" w:hAnsi="Times New Roman" w:cs="Times New Roman"/>
          <w:sz w:val="24"/>
          <w:szCs w:val="24"/>
        </w:rPr>
        <w:t xml:space="preserve"> the ex-ante crisis effect in the mining industry</w:t>
      </w:r>
      <w:r w:rsidR="0032329D" w:rsidRPr="00D801A9">
        <w:rPr>
          <w:rFonts w:ascii="Times New Roman" w:hAnsi="Times New Roman" w:cs="Times New Roman"/>
          <w:sz w:val="24"/>
          <w:szCs w:val="24"/>
        </w:rPr>
        <w:t xml:space="preserve"> </w:t>
      </w:r>
      <w:r w:rsidR="004D7273" w:rsidRPr="00D801A9">
        <w:rPr>
          <w:rFonts w:ascii="Times New Roman" w:hAnsi="Times New Roman" w:cs="Times New Roman"/>
          <w:sz w:val="24"/>
          <w:szCs w:val="24"/>
        </w:rPr>
        <w:t>accounting for</w:t>
      </w:r>
      <w:r w:rsidR="001C74F3" w:rsidRPr="00D801A9">
        <w:rPr>
          <w:rFonts w:ascii="Times New Roman" w:hAnsi="Times New Roman" w:cs="Times New Roman"/>
          <w:sz w:val="24"/>
          <w:szCs w:val="24"/>
        </w:rPr>
        <w:t xml:space="preserve"> structural changes</w:t>
      </w:r>
      <w:r w:rsidR="001D2EBF" w:rsidRPr="00D801A9">
        <w:rPr>
          <w:rFonts w:ascii="Times New Roman" w:hAnsi="Times New Roman" w:cs="Times New Roman"/>
          <w:sz w:val="24"/>
          <w:szCs w:val="24"/>
        </w:rPr>
        <w:t xml:space="preserve"> in the data</w:t>
      </w:r>
      <w:r w:rsidR="004D7273" w:rsidRPr="00D801A9">
        <w:rPr>
          <w:rFonts w:ascii="Times New Roman" w:hAnsi="Times New Roman" w:cs="Times New Roman"/>
          <w:sz w:val="24"/>
          <w:szCs w:val="24"/>
        </w:rPr>
        <w:t xml:space="preserve"> (as was determined in an analysis prior to this study)</w:t>
      </w:r>
      <w:r w:rsidR="001D2EBF" w:rsidRPr="00D801A9">
        <w:rPr>
          <w:rFonts w:ascii="Times New Roman" w:hAnsi="Times New Roman" w:cs="Times New Roman"/>
          <w:sz w:val="24"/>
          <w:szCs w:val="24"/>
        </w:rPr>
        <w:t>.</w:t>
      </w:r>
      <w:r w:rsidR="00F47471" w:rsidRPr="00D801A9">
        <w:rPr>
          <w:rFonts w:ascii="Times New Roman" w:hAnsi="Times New Roman" w:cs="Times New Roman"/>
          <w:sz w:val="24"/>
          <w:szCs w:val="24"/>
        </w:rPr>
        <w:t>We removed</w:t>
      </w:r>
      <w:r w:rsidR="001C74F3" w:rsidRPr="00D801A9">
        <w:rPr>
          <w:rFonts w:ascii="Times New Roman" w:hAnsi="Times New Roman" w:cs="Times New Roman"/>
          <w:sz w:val="24"/>
          <w:szCs w:val="24"/>
        </w:rPr>
        <w:t xml:space="preserve"> the negative </w:t>
      </w:r>
      <w:r w:rsidR="005155ED" w:rsidRPr="00D801A9">
        <w:rPr>
          <w:rFonts w:ascii="Times New Roman" w:hAnsi="Times New Roman" w:cs="Times New Roman"/>
          <w:sz w:val="24"/>
          <w:szCs w:val="24"/>
        </w:rPr>
        <w:t>and</w:t>
      </w:r>
      <w:r w:rsidR="00F0334D" w:rsidRPr="00D801A9">
        <w:rPr>
          <w:rFonts w:ascii="Times New Roman" w:hAnsi="Times New Roman" w:cs="Times New Roman"/>
          <w:sz w:val="24"/>
          <w:szCs w:val="24"/>
        </w:rPr>
        <w:t xml:space="preserve"> </w:t>
      </w:r>
      <w:r w:rsidR="00C156A8" w:rsidRPr="00D801A9">
        <w:rPr>
          <w:rFonts w:ascii="Times New Roman" w:hAnsi="Times New Roman" w:cs="Times New Roman"/>
          <w:sz w:val="24"/>
          <w:szCs w:val="24"/>
        </w:rPr>
        <w:t>missing</w:t>
      </w:r>
      <w:r w:rsidR="009D0728" w:rsidRPr="00D801A9">
        <w:rPr>
          <w:rFonts w:ascii="Times New Roman" w:hAnsi="Times New Roman" w:cs="Times New Roman"/>
          <w:sz w:val="24"/>
          <w:szCs w:val="24"/>
        </w:rPr>
        <w:t xml:space="preserve"> asset</w:t>
      </w:r>
      <w:r w:rsidR="001C74F3" w:rsidRPr="00D801A9">
        <w:rPr>
          <w:rFonts w:ascii="Times New Roman" w:hAnsi="Times New Roman" w:cs="Times New Roman"/>
          <w:sz w:val="24"/>
          <w:szCs w:val="24"/>
        </w:rPr>
        <w:t xml:space="preserve"> values, and the extreme values (5% </w:t>
      </w:r>
      <w:r w:rsidR="00F47471" w:rsidRPr="00D801A9">
        <w:rPr>
          <w:rFonts w:ascii="Times New Roman" w:hAnsi="Times New Roman" w:cs="Times New Roman"/>
          <w:sz w:val="24"/>
          <w:szCs w:val="24"/>
        </w:rPr>
        <w:t xml:space="preserve">of </w:t>
      </w:r>
      <w:r w:rsidR="001C74F3" w:rsidRPr="00D801A9">
        <w:rPr>
          <w:rFonts w:ascii="Times New Roman" w:hAnsi="Times New Roman" w:cs="Times New Roman"/>
          <w:sz w:val="24"/>
          <w:szCs w:val="24"/>
        </w:rPr>
        <w:t xml:space="preserve">the highest and lowest values). The summary statistics are showed in </w:t>
      </w:r>
      <w:r w:rsidR="00F47471" w:rsidRPr="00D801A9">
        <w:rPr>
          <w:rFonts w:ascii="Times New Roman" w:hAnsi="Times New Roman" w:cs="Times New Roman"/>
          <w:sz w:val="24"/>
          <w:szCs w:val="24"/>
        </w:rPr>
        <w:t>T</w:t>
      </w:r>
      <w:r w:rsidR="001C74F3" w:rsidRPr="00D801A9">
        <w:rPr>
          <w:rFonts w:ascii="Times New Roman" w:hAnsi="Times New Roman" w:cs="Times New Roman"/>
          <w:sz w:val="24"/>
          <w:szCs w:val="24"/>
        </w:rPr>
        <w:t>able I.</w:t>
      </w:r>
    </w:p>
    <w:p w:rsidR="00C251D6" w:rsidRPr="00D801A9" w:rsidRDefault="00F47471"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T</w:t>
      </w:r>
      <w:r w:rsidRPr="00D801A9">
        <w:rPr>
          <w:rFonts w:ascii="Times New Roman" w:hAnsi="Times New Roman" w:cs="Times New Roman"/>
          <w:sz w:val="24"/>
          <w:szCs w:val="24"/>
        </w:rPr>
        <w:t>h</w:t>
      </w:r>
      <w:r w:rsidR="001C74F3" w:rsidRPr="00D801A9">
        <w:rPr>
          <w:rFonts w:ascii="Times New Roman" w:hAnsi="Times New Roman" w:cs="Times New Roman"/>
          <w:sz w:val="24"/>
          <w:szCs w:val="24"/>
        </w:rPr>
        <w:t xml:space="preserve">rough the first two periods, we can see that revenues (measured by </w:t>
      </w:r>
      <w:r w:rsidR="00676A4E" w:rsidRPr="00D801A9">
        <w:rPr>
          <w:rFonts w:ascii="Times New Roman" w:hAnsi="Times New Roman" w:cs="Times New Roman"/>
          <w:sz w:val="24"/>
          <w:szCs w:val="24"/>
        </w:rPr>
        <w:t>the natural l</w:t>
      </w:r>
      <w:r w:rsidR="009D0728" w:rsidRPr="00D801A9">
        <w:rPr>
          <w:rFonts w:ascii="Times New Roman" w:hAnsi="Times New Roman" w:cs="Times New Roman"/>
          <w:sz w:val="24"/>
          <w:szCs w:val="24"/>
        </w:rPr>
        <w:t>og of sales) ha</w:t>
      </w:r>
      <w:r w:rsidR="00BB50EA" w:rsidRPr="00D801A9">
        <w:rPr>
          <w:rFonts w:ascii="Times New Roman" w:hAnsi="Times New Roman" w:cs="Times New Roman"/>
          <w:sz w:val="24"/>
          <w:szCs w:val="24"/>
        </w:rPr>
        <w:t>d</w:t>
      </w:r>
      <w:r w:rsidR="00F0334D" w:rsidRPr="00D801A9">
        <w:rPr>
          <w:rFonts w:ascii="Times New Roman" w:hAnsi="Times New Roman" w:cs="Times New Roman"/>
          <w:sz w:val="24"/>
          <w:szCs w:val="24"/>
        </w:rPr>
        <w:t xml:space="preserve"> </w:t>
      </w:r>
      <w:r w:rsidR="009736B7" w:rsidRPr="00D801A9">
        <w:rPr>
          <w:rFonts w:ascii="Times New Roman" w:hAnsi="Times New Roman" w:cs="Times New Roman"/>
          <w:sz w:val="24"/>
          <w:szCs w:val="24"/>
        </w:rPr>
        <w:t>remained constant</w:t>
      </w:r>
      <w:r w:rsidR="001C74F3" w:rsidRPr="00D801A9">
        <w:rPr>
          <w:rFonts w:ascii="Times New Roman" w:hAnsi="Times New Roman" w:cs="Times New Roman"/>
          <w:sz w:val="24"/>
          <w:szCs w:val="24"/>
        </w:rPr>
        <w:t xml:space="preserve">, </w:t>
      </w:r>
      <w:r w:rsidR="009736B7" w:rsidRPr="00D801A9">
        <w:rPr>
          <w:rFonts w:ascii="Times New Roman" w:hAnsi="Times New Roman" w:cs="Times New Roman"/>
          <w:sz w:val="24"/>
          <w:szCs w:val="24"/>
        </w:rPr>
        <w:t xml:space="preserve">although </w:t>
      </w:r>
      <w:r w:rsidR="00BB50EA" w:rsidRPr="00D801A9">
        <w:rPr>
          <w:rFonts w:ascii="Times New Roman" w:hAnsi="Times New Roman" w:cs="Times New Roman"/>
          <w:sz w:val="24"/>
          <w:szCs w:val="24"/>
        </w:rPr>
        <w:t xml:space="preserve">in </w:t>
      </w:r>
      <w:r w:rsidR="001C74F3" w:rsidRPr="00D801A9">
        <w:rPr>
          <w:rFonts w:ascii="Times New Roman" w:hAnsi="Times New Roman" w:cs="Times New Roman"/>
          <w:sz w:val="24"/>
          <w:szCs w:val="24"/>
        </w:rPr>
        <w:t>the last period</w:t>
      </w:r>
      <w:r w:rsidR="00F0334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i</w:t>
      </w:r>
      <w:r w:rsidR="00BB50EA" w:rsidRPr="00D801A9">
        <w:rPr>
          <w:rFonts w:ascii="Times New Roman" w:hAnsi="Times New Roman" w:cs="Times New Roman"/>
          <w:sz w:val="24"/>
          <w:szCs w:val="24"/>
        </w:rPr>
        <w:t>t i</w:t>
      </w:r>
      <w:r w:rsidR="001C74F3" w:rsidRPr="00D801A9">
        <w:rPr>
          <w:rFonts w:ascii="Times New Roman" w:hAnsi="Times New Roman" w:cs="Times New Roman"/>
          <w:sz w:val="24"/>
          <w:szCs w:val="24"/>
        </w:rPr>
        <w:t>ncreased</w:t>
      </w:r>
      <w:r w:rsidR="009736B7" w:rsidRPr="00D801A9">
        <w:rPr>
          <w:rFonts w:ascii="Times New Roman" w:hAnsi="Times New Roman" w:cs="Times New Roman"/>
          <w:sz w:val="24"/>
          <w:szCs w:val="24"/>
        </w:rPr>
        <w:t xml:space="preserve"> slightly</w:t>
      </w:r>
      <w:r w:rsidR="001C74F3" w:rsidRPr="00D801A9">
        <w:rPr>
          <w:rFonts w:ascii="Times New Roman" w:hAnsi="Times New Roman" w:cs="Times New Roman"/>
          <w:sz w:val="24"/>
          <w:szCs w:val="24"/>
        </w:rPr>
        <w:t>.</w:t>
      </w:r>
      <w:bookmarkStart w:id="0" w:name="_GoBack"/>
      <w:bookmarkEnd w:id="0"/>
      <w:r w:rsidR="00F0334D" w:rsidRPr="00D801A9">
        <w:rPr>
          <w:rFonts w:ascii="Times New Roman" w:hAnsi="Times New Roman" w:cs="Times New Roman"/>
          <w:sz w:val="24"/>
          <w:szCs w:val="24"/>
        </w:rPr>
        <w:t xml:space="preserve"> </w:t>
      </w:r>
      <w:r w:rsidR="001C74F3" w:rsidRPr="00D801A9">
        <w:rPr>
          <w:rFonts w:ascii="Times New Roman" w:hAnsi="Times New Roman" w:cs="Times New Roman"/>
          <w:sz w:val="24"/>
          <w:szCs w:val="24"/>
        </w:rPr>
        <w:t>The prices ha</w:t>
      </w:r>
      <w:r w:rsidR="004B3B9F" w:rsidRPr="00D801A9">
        <w:rPr>
          <w:rFonts w:ascii="Times New Roman" w:hAnsi="Times New Roman" w:cs="Times New Roman"/>
          <w:sz w:val="24"/>
          <w:szCs w:val="24"/>
        </w:rPr>
        <w:t>ve</w:t>
      </w:r>
      <w:r w:rsidR="001C74F3" w:rsidRPr="00D801A9">
        <w:rPr>
          <w:rFonts w:ascii="Times New Roman" w:hAnsi="Times New Roman" w:cs="Times New Roman"/>
          <w:sz w:val="24"/>
          <w:szCs w:val="24"/>
        </w:rPr>
        <w:t xml:space="preserve"> decreased </w:t>
      </w:r>
      <w:r w:rsidR="00BE4148" w:rsidRPr="00D801A9">
        <w:rPr>
          <w:rFonts w:ascii="Times New Roman" w:hAnsi="Times New Roman" w:cs="Times New Roman"/>
          <w:sz w:val="24"/>
          <w:szCs w:val="24"/>
        </w:rPr>
        <w:t>significantly</w:t>
      </w:r>
      <w:r w:rsidR="001C74F3" w:rsidRPr="00D801A9">
        <w:rPr>
          <w:rFonts w:ascii="Times New Roman" w:hAnsi="Times New Roman" w:cs="Times New Roman"/>
          <w:sz w:val="24"/>
          <w:szCs w:val="24"/>
        </w:rPr>
        <w:t xml:space="preserve"> from the first period to the second</w:t>
      </w:r>
      <w:r w:rsidR="004C63B9" w:rsidRPr="00D801A9">
        <w:rPr>
          <w:rFonts w:ascii="Times New Roman" w:hAnsi="Times New Roman" w:cs="Times New Roman"/>
          <w:sz w:val="24"/>
          <w:szCs w:val="24"/>
        </w:rPr>
        <w:t>.  T</w:t>
      </w:r>
      <w:r w:rsidR="00E81E04" w:rsidRPr="00D801A9">
        <w:rPr>
          <w:rFonts w:ascii="Times New Roman" w:hAnsi="Times New Roman" w:cs="Times New Roman"/>
          <w:sz w:val="24"/>
          <w:szCs w:val="24"/>
        </w:rPr>
        <w:t>his indicates that the</w:t>
      </w:r>
      <w:r w:rsidR="00FB79F0" w:rsidRPr="00D801A9">
        <w:rPr>
          <w:rFonts w:ascii="Times New Roman" w:hAnsi="Times New Roman" w:cs="Times New Roman"/>
          <w:sz w:val="24"/>
          <w:szCs w:val="24"/>
        </w:rPr>
        <w:t xml:space="preserve"> impact of the crisis hit </w:t>
      </w:r>
      <w:r w:rsidR="001C74F3" w:rsidRPr="00D801A9">
        <w:rPr>
          <w:rFonts w:ascii="Times New Roman" w:hAnsi="Times New Roman" w:cs="Times New Roman"/>
          <w:sz w:val="24"/>
          <w:szCs w:val="24"/>
        </w:rPr>
        <w:t>the mining industry</w:t>
      </w:r>
      <w:r w:rsidR="00FB79F0" w:rsidRPr="00D801A9">
        <w:rPr>
          <w:rFonts w:ascii="Times New Roman" w:hAnsi="Times New Roman" w:cs="Times New Roman"/>
          <w:sz w:val="24"/>
          <w:szCs w:val="24"/>
        </w:rPr>
        <w:t xml:space="preserve"> very hard</w:t>
      </w:r>
      <w:r w:rsidR="001C74F3" w:rsidRPr="00D801A9">
        <w:rPr>
          <w:rFonts w:ascii="Times New Roman" w:hAnsi="Times New Roman" w:cs="Times New Roman"/>
          <w:sz w:val="24"/>
          <w:szCs w:val="24"/>
        </w:rPr>
        <w:t xml:space="preserve">, the prices have not recovered </w:t>
      </w:r>
      <w:r w:rsidR="00FB79F0" w:rsidRPr="00D801A9">
        <w:rPr>
          <w:rFonts w:ascii="Times New Roman" w:hAnsi="Times New Roman" w:cs="Times New Roman"/>
          <w:sz w:val="24"/>
          <w:szCs w:val="24"/>
        </w:rPr>
        <w:t xml:space="preserve">to </w:t>
      </w:r>
      <w:r w:rsidR="001C74F3" w:rsidRPr="00D801A9">
        <w:rPr>
          <w:rFonts w:ascii="Times New Roman" w:hAnsi="Times New Roman" w:cs="Times New Roman"/>
          <w:sz w:val="24"/>
          <w:szCs w:val="24"/>
        </w:rPr>
        <w:t>the level of the first period</w:t>
      </w:r>
      <w:r w:rsidR="00526E35"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the reduction</w:t>
      </w:r>
      <w:r w:rsidR="004C63B9"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considering the third period</w:t>
      </w:r>
      <w:r w:rsidR="004C63B9" w:rsidRPr="00D801A9">
        <w:rPr>
          <w:rFonts w:ascii="Times New Roman" w:hAnsi="Times New Roman" w:cs="Times New Roman"/>
          <w:sz w:val="24"/>
          <w:szCs w:val="24"/>
        </w:rPr>
        <w:t>,</w:t>
      </w:r>
      <w:r w:rsidR="00F0334D" w:rsidRPr="00D801A9">
        <w:rPr>
          <w:rFonts w:ascii="Times New Roman" w:hAnsi="Times New Roman" w:cs="Times New Roman"/>
          <w:sz w:val="24"/>
          <w:szCs w:val="24"/>
        </w:rPr>
        <w:t xml:space="preserve"> </w:t>
      </w:r>
      <w:r w:rsidR="00B737B0" w:rsidRPr="00D801A9">
        <w:rPr>
          <w:rFonts w:ascii="Times New Roman" w:hAnsi="Times New Roman" w:cs="Times New Roman"/>
          <w:sz w:val="24"/>
          <w:szCs w:val="24"/>
        </w:rPr>
        <w:t>was</w:t>
      </w:r>
      <w:r w:rsidR="001C74F3" w:rsidRPr="00D801A9">
        <w:rPr>
          <w:rFonts w:ascii="Times New Roman" w:hAnsi="Times New Roman" w:cs="Times New Roman"/>
          <w:sz w:val="24"/>
          <w:szCs w:val="24"/>
        </w:rPr>
        <w:t xml:space="preserve"> 29%.</w:t>
      </w:r>
    </w:p>
    <w:p w:rsidR="00C251D6" w:rsidRDefault="001C74F3">
      <w:pPr>
        <w:pageBreakBefore/>
        <w:jc w:val="center"/>
        <w:rPr>
          <w:rFonts w:ascii="Times New Roman" w:hAnsi="Times New Roman" w:cs="Times New Roman"/>
        </w:rPr>
      </w:pPr>
      <w:r>
        <w:rPr>
          <w:rFonts w:ascii="Times New Roman" w:hAnsi="Times New Roman" w:cs="Times New Roman"/>
        </w:rPr>
        <w:lastRenderedPageBreak/>
        <w:t>Table I</w:t>
      </w:r>
    </w:p>
    <w:p w:rsidR="00C251D6" w:rsidRDefault="001C74F3">
      <w:pPr>
        <w:jc w:val="center"/>
        <w:rPr>
          <w:rFonts w:ascii="Times New Roman" w:hAnsi="Times New Roman" w:cs="Times New Roman"/>
          <w:b/>
        </w:rPr>
      </w:pPr>
      <w:r>
        <w:rPr>
          <w:rFonts w:ascii="Times New Roman" w:hAnsi="Times New Roman" w:cs="Times New Roman"/>
          <w:b/>
        </w:rPr>
        <w:t xml:space="preserve">Summary Statistics </w:t>
      </w:r>
    </w:p>
    <w:p w:rsidR="00C251D6" w:rsidRDefault="001C74F3">
      <w:pPr>
        <w:rPr>
          <w:rFonts w:ascii="Times New Roman" w:hAnsi="Times New Roman" w:cs="Times New Roman"/>
          <w:sz w:val="20"/>
          <w:szCs w:val="20"/>
        </w:rPr>
      </w:pPr>
      <w:r>
        <w:rPr>
          <w:rFonts w:ascii="Times New Roman" w:hAnsi="Times New Roman" w:cs="Times New Roman"/>
          <w:sz w:val="20"/>
          <w:szCs w:val="20"/>
        </w:rPr>
        <w:t>The sample consists of all Mining firms in the CO</w:t>
      </w:r>
      <w:r w:rsidR="00E36C1F">
        <w:rPr>
          <w:rFonts w:ascii="Times New Roman" w:hAnsi="Times New Roman" w:cs="Times New Roman"/>
          <w:sz w:val="20"/>
          <w:szCs w:val="20"/>
        </w:rPr>
        <w:t>MPUSTAT database from 2002 to 2</w:t>
      </w:r>
      <w:r>
        <w:rPr>
          <w:rFonts w:ascii="Times New Roman" w:hAnsi="Times New Roman" w:cs="Times New Roman"/>
          <w:sz w:val="20"/>
          <w:szCs w:val="20"/>
        </w:rPr>
        <w:t>013 divided in</w:t>
      </w:r>
      <w:r w:rsidR="00E36C1F">
        <w:rPr>
          <w:rFonts w:ascii="Times New Roman" w:hAnsi="Times New Roman" w:cs="Times New Roman"/>
          <w:sz w:val="20"/>
          <w:szCs w:val="20"/>
        </w:rPr>
        <w:t>to</w:t>
      </w:r>
      <w:r>
        <w:rPr>
          <w:rFonts w:ascii="Times New Roman" w:hAnsi="Times New Roman" w:cs="Times New Roman"/>
          <w:sz w:val="20"/>
          <w:szCs w:val="20"/>
        </w:rPr>
        <w:t xml:space="preserve"> three periods. The table presents variable averages, medians (in brackets), and standard deviations (SD). </w:t>
      </w:r>
    </w:p>
    <w:tbl>
      <w:tblPr>
        <w:tblW w:w="0" w:type="auto"/>
        <w:tblBorders>
          <w:top w:val="single" w:sz="4" w:space="0" w:color="00000A"/>
          <w:left w:val="nil"/>
          <w:bottom w:val="nil"/>
          <w:right w:val="nil"/>
          <w:insideH w:val="nil"/>
          <w:insideV w:val="nil"/>
        </w:tblBorders>
        <w:tblLook w:val="04A0"/>
      </w:tblPr>
      <w:tblGrid>
        <w:gridCol w:w="2445"/>
        <w:gridCol w:w="1077"/>
        <w:gridCol w:w="1261"/>
        <w:gridCol w:w="1260"/>
        <w:gridCol w:w="1348"/>
        <w:gridCol w:w="1078"/>
        <w:gridCol w:w="997"/>
      </w:tblGrid>
      <w:tr w:rsidR="00C251D6">
        <w:trPr>
          <w:cantSplit/>
        </w:trPr>
        <w:tc>
          <w:tcPr>
            <w:tcW w:w="2445" w:type="dxa"/>
            <w:tcBorders>
              <w:top w:val="single" w:sz="4" w:space="0" w:color="00000A"/>
              <w:left w:val="nil"/>
              <w:bottom w:val="nil"/>
              <w:right w:val="nil"/>
            </w:tcBorders>
            <w:shd w:val="clear" w:color="auto" w:fill="FFFFFF"/>
          </w:tcPr>
          <w:p w:rsidR="00C251D6" w:rsidRDefault="00C251D6">
            <w:pPr>
              <w:spacing w:after="0"/>
              <w:rPr>
                <w:rFonts w:ascii="Times New Roman" w:hAnsi="Times New Roman" w:cs="Times New Roman"/>
              </w:rPr>
            </w:pPr>
          </w:p>
        </w:tc>
        <w:tc>
          <w:tcPr>
            <w:tcW w:w="2338" w:type="dxa"/>
            <w:gridSpan w:val="2"/>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2002 - 2007</w:t>
            </w:r>
          </w:p>
        </w:tc>
        <w:tc>
          <w:tcPr>
            <w:tcW w:w="2608" w:type="dxa"/>
            <w:gridSpan w:val="2"/>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2008-2009</w:t>
            </w:r>
          </w:p>
        </w:tc>
        <w:tc>
          <w:tcPr>
            <w:tcW w:w="2074" w:type="dxa"/>
            <w:gridSpan w:val="2"/>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 xml:space="preserve">2010 </w:t>
            </w:r>
            <w:r w:rsidR="00D801A9">
              <w:rPr>
                <w:rFonts w:ascii="Times New Roman" w:hAnsi="Times New Roman" w:cs="Times New Roman"/>
              </w:rPr>
              <w:t>–</w:t>
            </w:r>
            <w:r>
              <w:rPr>
                <w:rFonts w:ascii="Times New Roman" w:hAnsi="Times New Roman" w:cs="Times New Roman"/>
              </w:rPr>
              <w:t xml:space="preserve"> 2013</w:t>
            </w:r>
          </w:p>
        </w:tc>
      </w:tr>
      <w:tr w:rsidR="00C251D6">
        <w:trPr>
          <w:cantSplit/>
        </w:trPr>
        <w:tc>
          <w:tcPr>
            <w:tcW w:w="2445" w:type="dxa"/>
            <w:tcBorders>
              <w:top w:val="nil"/>
              <w:left w:val="nil"/>
              <w:bottom w:val="single" w:sz="4" w:space="0" w:color="00000A"/>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Variable</w:t>
            </w:r>
          </w:p>
        </w:tc>
        <w:tc>
          <w:tcPr>
            <w:tcW w:w="1077"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Mean [Median]</w:t>
            </w:r>
          </w:p>
        </w:tc>
        <w:tc>
          <w:tcPr>
            <w:tcW w:w="1260"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(SD)</w:t>
            </w:r>
          </w:p>
        </w:tc>
        <w:tc>
          <w:tcPr>
            <w:tcW w:w="1260"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Mean [Median]</w:t>
            </w:r>
          </w:p>
        </w:tc>
        <w:tc>
          <w:tcPr>
            <w:tcW w:w="1348"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(SD)</w:t>
            </w:r>
          </w:p>
        </w:tc>
        <w:tc>
          <w:tcPr>
            <w:tcW w:w="1078"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Mean [Median]</w:t>
            </w:r>
          </w:p>
        </w:tc>
        <w:tc>
          <w:tcPr>
            <w:tcW w:w="997"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(SD)</w:t>
            </w:r>
          </w:p>
        </w:tc>
      </w:tr>
      <w:tr w:rsidR="00C251D6">
        <w:trPr>
          <w:cantSplit/>
        </w:trPr>
        <w:tc>
          <w:tcPr>
            <w:tcW w:w="2445" w:type="dxa"/>
            <w:tcBorders>
              <w:top w:val="single" w:sz="4" w:space="0" w:color="00000A"/>
              <w:left w:val="nil"/>
              <w:bottom w:val="nil"/>
              <w:right w:val="nil"/>
            </w:tcBorders>
            <w:shd w:val="clear" w:color="auto" w:fill="FFFFFF"/>
          </w:tcPr>
          <w:p w:rsidR="00C251D6" w:rsidRDefault="004B7B6E">
            <w:pPr>
              <w:spacing w:after="0"/>
              <w:rPr>
                <w:rFonts w:ascii="Times New Roman" w:hAnsi="Times New Roman" w:cs="Times New Roman"/>
              </w:rPr>
            </w:pPr>
            <w:r>
              <w:rPr>
                <w:rFonts w:ascii="Times New Roman" w:hAnsi="Times New Roman" w:cs="Times New Roman"/>
              </w:rPr>
              <w:t>Revenue (ln</w:t>
            </w:r>
            <w:r w:rsidR="001C74F3">
              <w:rPr>
                <w:rFonts w:ascii="Times New Roman" w:hAnsi="Times New Roman" w:cs="Times New Roman"/>
              </w:rPr>
              <w:t>(sales))</w:t>
            </w:r>
          </w:p>
        </w:tc>
        <w:tc>
          <w:tcPr>
            <w:tcW w:w="1077"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2.12</w:t>
            </w:r>
          </w:p>
        </w:tc>
        <w:tc>
          <w:tcPr>
            <w:tcW w:w="1260"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(1.17)</w:t>
            </w:r>
          </w:p>
        </w:tc>
        <w:tc>
          <w:tcPr>
            <w:tcW w:w="1260"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2.13</w:t>
            </w:r>
          </w:p>
        </w:tc>
        <w:tc>
          <w:tcPr>
            <w:tcW w:w="1348"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(1.14)</w:t>
            </w:r>
          </w:p>
        </w:tc>
        <w:tc>
          <w:tcPr>
            <w:tcW w:w="1078"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2.22</w:t>
            </w:r>
          </w:p>
        </w:tc>
        <w:tc>
          <w:tcPr>
            <w:tcW w:w="997"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(1.11)</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[2.13]</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[2.13]</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[2.23]</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Prices</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17.85</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(30.83)</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11.93</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(22.05)</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12.64</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(20.63)</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[5.85]</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[2.24]</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[3.17]</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Market to Book</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(2.09)</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1.36</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(1.46)</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1.62</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(4.20)</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[1.58]</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[1.03]</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[1.08]</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Book leverage</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0.19</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(0.15)</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0.18</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(0.16)</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0.17</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(0.15)</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[0.16]</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[0.14]</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[0.14]</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Market leverage</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0.16</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0.18</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0.21</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(0.21)</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0.20</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0.21</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[0.15]</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[0.12]</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E36C1F">
            <w:pPr>
              <w:spacing w:after="0"/>
              <w:rPr>
                <w:rFonts w:ascii="Times New Roman" w:hAnsi="Times New Roman" w:cs="Times New Roman"/>
              </w:rPr>
            </w:pPr>
            <w:r>
              <w:rPr>
                <w:rFonts w:ascii="Times New Roman" w:hAnsi="Times New Roman" w:cs="Times New Roman"/>
              </w:rPr>
              <w:t>Capex/</w:t>
            </w:r>
            <w:r w:rsidR="001C74F3">
              <w:rPr>
                <w:rFonts w:ascii="Times New Roman" w:hAnsi="Times New Roman" w:cs="Times New Roman"/>
              </w:rPr>
              <w:t>Assets</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(0.11)</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0.12</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0.12</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(0.10)</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[0.10]</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 xml:space="preserve">Productivity </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0.90</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(0.92)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1.00</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(1.14)</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0.86</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(1.06)</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[0.72]</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[0.72]</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[0.66]</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ROA</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0.05</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(0.27)</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0.04</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(0.27)</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[0.07]</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[0.06]</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E36C1F">
            <w:pPr>
              <w:spacing w:after="0"/>
              <w:rPr>
                <w:rFonts w:ascii="Times New Roman" w:hAnsi="Times New Roman" w:cs="Times New Roman"/>
              </w:rPr>
            </w:pPr>
            <w:r>
              <w:rPr>
                <w:rFonts w:ascii="Times New Roman" w:hAnsi="Times New Roman" w:cs="Times New Roman"/>
              </w:rPr>
              <w:t>Dividends/</w:t>
            </w:r>
            <w:r w:rsidR="001C74F3">
              <w:rPr>
                <w:rFonts w:ascii="Times New Roman" w:hAnsi="Times New Roman" w:cs="Times New Roman"/>
              </w:rPr>
              <w:t>Assets</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(0.04)</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0.009</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0.011</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Dividends/Market Value</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(0.07)</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0.014</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(0.07)</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0.026</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(0.25)</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Div/EBIDTA</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0.031</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(0.55)</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0.050</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(0.54)</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0.072</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(0.61)</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Tobin’s q</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2.90</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(4.14)</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2.09</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(5.02)</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2.12</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(4.70)</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[2.16]</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[1.37]</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[1.42]</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single" w:sz="4" w:space="0" w:color="00000A"/>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Obs.</w:t>
            </w:r>
          </w:p>
        </w:tc>
        <w:tc>
          <w:tcPr>
            <w:tcW w:w="1077" w:type="dxa"/>
            <w:tcBorders>
              <w:top w:val="nil"/>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681</w:t>
            </w:r>
          </w:p>
        </w:tc>
        <w:tc>
          <w:tcPr>
            <w:tcW w:w="1260"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315</w:t>
            </w:r>
          </w:p>
        </w:tc>
        <w:tc>
          <w:tcPr>
            <w:tcW w:w="1348"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650</w:t>
            </w:r>
          </w:p>
        </w:tc>
        <w:tc>
          <w:tcPr>
            <w:tcW w:w="997"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r>
    </w:tbl>
    <w:p w:rsidR="00C251D6" w:rsidRPr="00D801A9" w:rsidRDefault="00C251D6" w:rsidP="00D801A9">
      <w:pPr>
        <w:spacing w:line="360" w:lineRule="auto"/>
        <w:jc w:val="both"/>
        <w:rPr>
          <w:rFonts w:ascii="Times New Roman" w:hAnsi="Times New Roman" w:cs="Times New Roman"/>
          <w:sz w:val="24"/>
          <w:szCs w:val="24"/>
        </w:rPr>
      </w:pPr>
    </w:p>
    <w:p w:rsidR="00C251D6" w:rsidRPr="00D801A9" w:rsidRDefault="001C74F3"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 xml:space="preserve">While the </w:t>
      </w:r>
      <w:r w:rsidR="000708BA" w:rsidRPr="00D801A9">
        <w:rPr>
          <w:rFonts w:ascii="Times New Roman" w:hAnsi="Times New Roman" w:cs="Times New Roman"/>
          <w:sz w:val="24"/>
          <w:szCs w:val="24"/>
        </w:rPr>
        <w:t xml:space="preserve">levels of </w:t>
      </w:r>
      <w:r w:rsidR="00FA4F6F" w:rsidRPr="00D801A9">
        <w:rPr>
          <w:rFonts w:ascii="Times New Roman" w:hAnsi="Times New Roman" w:cs="Times New Roman"/>
          <w:sz w:val="24"/>
          <w:szCs w:val="24"/>
        </w:rPr>
        <w:t xml:space="preserve">Book </w:t>
      </w:r>
      <w:r w:rsidR="000708BA" w:rsidRPr="00D801A9">
        <w:rPr>
          <w:rFonts w:ascii="Times New Roman" w:hAnsi="Times New Roman" w:cs="Times New Roman"/>
          <w:sz w:val="24"/>
          <w:szCs w:val="24"/>
        </w:rPr>
        <w:t xml:space="preserve">leverage </w:t>
      </w:r>
      <w:r w:rsidRPr="00D801A9">
        <w:rPr>
          <w:rFonts w:ascii="Times New Roman" w:hAnsi="Times New Roman" w:cs="Times New Roman"/>
          <w:sz w:val="24"/>
          <w:szCs w:val="24"/>
        </w:rPr>
        <w:t xml:space="preserve">(Total debt/Assets) </w:t>
      </w:r>
      <w:r w:rsidR="003416D2" w:rsidRPr="00D801A9">
        <w:rPr>
          <w:rFonts w:ascii="Times New Roman" w:hAnsi="Times New Roman" w:cs="Times New Roman"/>
          <w:sz w:val="24"/>
          <w:szCs w:val="24"/>
        </w:rPr>
        <w:t>f</w:t>
      </w:r>
      <w:r w:rsidR="00BB50EA" w:rsidRPr="00D801A9">
        <w:rPr>
          <w:rFonts w:ascii="Times New Roman" w:hAnsi="Times New Roman" w:cs="Times New Roman"/>
          <w:sz w:val="24"/>
          <w:szCs w:val="24"/>
        </w:rPr>
        <w:t>ell</w:t>
      </w:r>
      <w:r w:rsidR="003416D2" w:rsidRPr="00D801A9">
        <w:rPr>
          <w:rFonts w:ascii="Times New Roman" w:hAnsi="Times New Roman" w:cs="Times New Roman"/>
          <w:sz w:val="24"/>
          <w:szCs w:val="24"/>
        </w:rPr>
        <w:t xml:space="preserve"> over the three</w:t>
      </w:r>
      <w:r w:rsidRPr="00D801A9">
        <w:rPr>
          <w:rFonts w:ascii="Times New Roman" w:hAnsi="Times New Roman" w:cs="Times New Roman"/>
          <w:sz w:val="24"/>
          <w:szCs w:val="24"/>
        </w:rPr>
        <w:t xml:space="preserve"> periods, Market leverage (Total debt/Market value) </w:t>
      </w:r>
      <w:r w:rsidR="003416D2" w:rsidRPr="00D801A9">
        <w:rPr>
          <w:rFonts w:ascii="Times New Roman" w:hAnsi="Times New Roman" w:cs="Times New Roman"/>
          <w:sz w:val="24"/>
          <w:szCs w:val="24"/>
        </w:rPr>
        <w:t>r</w:t>
      </w:r>
      <w:r w:rsidR="00BB50EA" w:rsidRPr="00D801A9">
        <w:rPr>
          <w:rFonts w:ascii="Times New Roman" w:hAnsi="Times New Roman" w:cs="Times New Roman"/>
          <w:sz w:val="24"/>
          <w:szCs w:val="24"/>
        </w:rPr>
        <w:t>ose</w:t>
      </w:r>
      <w:r w:rsidRPr="00D801A9">
        <w:rPr>
          <w:rFonts w:ascii="Times New Roman" w:hAnsi="Times New Roman" w:cs="Times New Roman"/>
          <w:sz w:val="24"/>
          <w:szCs w:val="24"/>
        </w:rPr>
        <w:t xml:space="preserve"> in the second period a</w:t>
      </w:r>
      <w:r w:rsidR="003416D2" w:rsidRPr="00D801A9">
        <w:rPr>
          <w:rFonts w:ascii="Times New Roman" w:hAnsi="Times New Roman" w:cs="Times New Roman"/>
          <w:sz w:val="24"/>
          <w:szCs w:val="24"/>
        </w:rPr>
        <w:t>nd decreased in the third</w:t>
      </w:r>
      <w:r w:rsidRPr="00D801A9">
        <w:rPr>
          <w:rFonts w:ascii="Times New Roman" w:hAnsi="Times New Roman" w:cs="Times New Roman"/>
          <w:sz w:val="24"/>
          <w:szCs w:val="24"/>
        </w:rPr>
        <w:t xml:space="preserve">. </w:t>
      </w:r>
      <w:r w:rsidR="003F5CC2" w:rsidRPr="00D801A9">
        <w:rPr>
          <w:rFonts w:ascii="Times New Roman" w:hAnsi="Times New Roman" w:cs="Times New Roman"/>
          <w:sz w:val="24"/>
          <w:szCs w:val="24"/>
        </w:rPr>
        <w:t>Using</w:t>
      </w:r>
      <w:r w:rsidR="00F0334D" w:rsidRPr="00D801A9">
        <w:rPr>
          <w:rFonts w:ascii="Times New Roman" w:hAnsi="Times New Roman" w:cs="Times New Roman"/>
          <w:sz w:val="24"/>
          <w:szCs w:val="24"/>
        </w:rPr>
        <w:t xml:space="preserve"> </w:t>
      </w:r>
      <w:r w:rsidRPr="00D801A9">
        <w:rPr>
          <w:rFonts w:ascii="Times New Roman" w:hAnsi="Times New Roman" w:cs="Times New Roman"/>
          <w:sz w:val="24"/>
          <w:szCs w:val="24"/>
        </w:rPr>
        <w:t xml:space="preserve"> Capex/A</w:t>
      </w:r>
      <w:r w:rsidR="003F5CC2" w:rsidRPr="00D801A9">
        <w:rPr>
          <w:rFonts w:ascii="Times New Roman" w:hAnsi="Times New Roman" w:cs="Times New Roman"/>
          <w:sz w:val="24"/>
          <w:szCs w:val="24"/>
        </w:rPr>
        <w:t>ssets to measure Investment, this value</w:t>
      </w:r>
      <w:r w:rsidR="00F0334D" w:rsidRPr="00D801A9">
        <w:rPr>
          <w:rFonts w:ascii="Times New Roman" w:hAnsi="Times New Roman" w:cs="Times New Roman"/>
          <w:sz w:val="24"/>
          <w:szCs w:val="24"/>
        </w:rPr>
        <w:t xml:space="preserve"> </w:t>
      </w:r>
      <w:r w:rsidR="003F5CC2" w:rsidRPr="00D801A9">
        <w:rPr>
          <w:rFonts w:ascii="Times New Roman" w:hAnsi="Times New Roman" w:cs="Times New Roman"/>
          <w:sz w:val="24"/>
          <w:szCs w:val="24"/>
        </w:rPr>
        <w:t>was</w:t>
      </w:r>
      <w:r w:rsidRPr="00D801A9">
        <w:rPr>
          <w:rFonts w:ascii="Times New Roman" w:hAnsi="Times New Roman" w:cs="Times New Roman"/>
          <w:sz w:val="24"/>
          <w:szCs w:val="24"/>
        </w:rPr>
        <w:t xml:space="preserve"> flat </w:t>
      </w:r>
      <w:r w:rsidR="003F5CC2" w:rsidRPr="00D801A9">
        <w:rPr>
          <w:rFonts w:ascii="Times New Roman" w:hAnsi="Times New Roman" w:cs="Times New Roman"/>
          <w:sz w:val="24"/>
          <w:szCs w:val="24"/>
        </w:rPr>
        <w:t xml:space="preserve">at </w:t>
      </w:r>
      <w:r w:rsidRPr="00D801A9">
        <w:rPr>
          <w:rFonts w:ascii="Times New Roman" w:hAnsi="Times New Roman" w:cs="Times New Roman"/>
          <w:sz w:val="24"/>
          <w:szCs w:val="24"/>
        </w:rPr>
        <w:t>0.12</w:t>
      </w:r>
      <w:r w:rsidR="00F0334D" w:rsidRPr="00D801A9">
        <w:rPr>
          <w:rFonts w:ascii="Times New Roman" w:hAnsi="Times New Roman" w:cs="Times New Roman"/>
          <w:sz w:val="24"/>
          <w:szCs w:val="24"/>
        </w:rPr>
        <w:t xml:space="preserve"> </w:t>
      </w:r>
      <w:r w:rsidRPr="00D801A9">
        <w:rPr>
          <w:rFonts w:ascii="Times New Roman" w:hAnsi="Times New Roman" w:cs="Times New Roman"/>
          <w:sz w:val="24"/>
          <w:szCs w:val="24"/>
        </w:rPr>
        <w:t xml:space="preserve">in </w:t>
      </w:r>
      <w:r w:rsidR="003F5CC2" w:rsidRPr="00D801A9">
        <w:rPr>
          <w:rFonts w:ascii="Times New Roman" w:hAnsi="Times New Roman" w:cs="Times New Roman"/>
          <w:sz w:val="24"/>
          <w:szCs w:val="24"/>
        </w:rPr>
        <w:t>all</w:t>
      </w:r>
      <w:r w:rsidRPr="00D801A9">
        <w:rPr>
          <w:rFonts w:ascii="Times New Roman" w:hAnsi="Times New Roman" w:cs="Times New Roman"/>
          <w:sz w:val="24"/>
          <w:szCs w:val="24"/>
        </w:rPr>
        <w:t xml:space="preserve"> periods of analysis</w:t>
      </w:r>
      <w:r w:rsidR="003F5CC2" w:rsidRPr="00D801A9">
        <w:rPr>
          <w:rFonts w:ascii="Times New Roman" w:hAnsi="Times New Roman" w:cs="Times New Roman"/>
          <w:sz w:val="24"/>
          <w:szCs w:val="24"/>
        </w:rPr>
        <w:t>.  This</w:t>
      </w:r>
      <w:r w:rsidRPr="00D801A9">
        <w:rPr>
          <w:rFonts w:ascii="Times New Roman" w:hAnsi="Times New Roman" w:cs="Times New Roman"/>
          <w:sz w:val="24"/>
          <w:szCs w:val="24"/>
        </w:rPr>
        <w:t xml:space="preserve"> mean</w:t>
      </w:r>
      <w:r w:rsidR="003F5CC2" w:rsidRPr="00D801A9">
        <w:rPr>
          <w:rFonts w:ascii="Times New Roman" w:hAnsi="Times New Roman" w:cs="Times New Roman"/>
          <w:sz w:val="24"/>
          <w:szCs w:val="24"/>
        </w:rPr>
        <w:t>t</w:t>
      </w:r>
      <w:r w:rsidRPr="00D801A9">
        <w:rPr>
          <w:rFonts w:ascii="Times New Roman" w:hAnsi="Times New Roman" w:cs="Times New Roman"/>
          <w:sz w:val="24"/>
          <w:szCs w:val="24"/>
        </w:rPr>
        <w:t xml:space="preserve"> that during the meltdown the level of investment had </w:t>
      </w:r>
      <w:r w:rsidR="00395684" w:rsidRPr="00D801A9">
        <w:rPr>
          <w:rFonts w:ascii="Times New Roman" w:hAnsi="Times New Roman" w:cs="Times New Roman"/>
          <w:sz w:val="24"/>
          <w:szCs w:val="24"/>
        </w:rPr>
        <w:t>remained</w:t>
      </w:r>
      <w:r w:rsidRPr="00D801A9">
        <w:rPr>
          <w:rFonts w:ascii="Times New Roman" w:hAnsi="Times New Roman" w:cs="Times New Roman"/>
          <w:sz w:val="24"/>
          <w:szCs w:val="24"/>
        </w:rPr>
        <w:t xml:space="preserve"> constant and</w:t>
      </w:r>
      <w:r w:rsidR="00F0334D" w:rsidRPr="00D801A9">
        <w:rPr>
          <w:rFonts w:ascii="Times New Roman" w:hAnsi="Times New Roman" w:cs="Times New Roman"/>
          <w:sz w:val="24"/>
          <w:szCs w:val="24"/>
        </w:rPr>
        <w:t xml:space="preserve"> </w:t>
      </w:r>
      <w:r w:rsidRPr="00D801A9">
        <w:rPr>
          <w:rFonts w:ascii="Times New Roman" w:hAnsi="Times New Roman" w:cs="Times New Roman"/>
          <w:sz w:val="24"/>
          <w:szCs w:val="24"/>
        </w:rPr>
        <w:t>continue</w:t>
      </w:r>
      <w:r w:rsidR="00395684" w:rsidRPr="00D801A9">
        <w:rPr>
          <w:rFonts w:ascii="Times New Roman" w:hAnsi="Times New Roman" w:cs="Times New Roman"/>
          <w:sz w:val="24"/>
          <w:szCs w:val="24"/>
        </w:rPr>
        <w:t>d</w:t>
      </w:r>
      <w:r w:rsidRPr="00D801A9">
        <w:rPr>
          <w:rFonts w:ascii="Times New Roman" w:hAnsi="Times New Roman" w:cs="Times New Roman"/>
          <w:sz w:val="24"/>
          <w:szCs w:val="24"/>
        </w:rPr>
        <w:t xml:space="preserve"> at the same level in the last period. The productivity (Sales cost</w:t>
      </w:r>
      <w:r w:rsidR="00395684" w:rsidRPr="00D801A9">
        <w:rPr>
          <w:rFonts w:ascii="Times New Roman" w:hAnsi="Times New Roman" w:cs="Times New Roman"/>
          <w:sz w:val="24"/>
          <w:szCs w:val="24"/>
        </w:rPr>
        <w:t>/</w:t>
      </w:r>
      <w:r w:rsidRPr="00D801A9">
        <w:rPr>
          <w:rFonts w:ascii="Times New Roman" w:hAnsi="Times New Roman" w:cs="Times New Roman"/>
          <w:sz w:val="24"/>
          <w:szCs w:val="24"/>
        </w:rPr>
        <w:t xml:space="preserve">sales) </w:t>
      </w:r>
      <w:r w:rsidR="00B737B0" w:rsidRPr="00D801A9">
        <w:rPr>
          <w:rFonts w:ascii="Times New Roman" w:hAnsi="Times New Roman" w:cs="Times New Roman"/>
          <w:sz w:val="24"/>
          <w:szCs w:val="24"/>
        </w:rPr>
        <w:t>was</w:t>
      </w:r>
      <w:r w:rsidRPr="00D801A9">
        <w:rPr>
          <w:rFonts w:ascii="Times New Roman" w:hAnsi="Times New Roman" w:cs="Times New Roman"/>
          <w:sz w:val="24"/>
          <w:szCs w:val="24"/>
        </w:rPr>
        <w:t xml:space="preserve"> the clue in this sector</w:t>
      </w:r>
      <w:r w:rsidR="00B737B0" w:rsidRPr="00D801A9">
        <w:rPr>
          <w:rFonts w:ascii="Times New Roman" w:hAnsi="Times New Roman" w:cs="Times New Roman"/>
          <w:sz w:val="24"/>
          <w:szCs w:val="24"/>
        </w:rPr>
        <w:t xml:space="preserve"> as</w:t>
      </w:r>
      <w:r w:rsidRPr="00D801A9">
        <w:rPr>
          <w:rFonts w:ascii="Times New Roman" w:hAnsi="Times New Roman" w:cs="Times New Roman"/>
          <w:sz w:val="24"/>
          <w:szCs w:val="24"/>
        </w:rPr>
        <w:t xml:space="preserve"> higher values </w:t>
      </w:r>
      <w:r w:rsidR="00B737B0" w:rsidRPr="00D801A9">
        <w:rPr>
          <w:rFonts w:ascii="Times New Roman" w:hAnsi="Times New Roman" w:cs="Times New Roman"/>
          <w:sz w:val="24"/>
          <w:szCs w:val="24"/>
        </w:rPr>
        <w:t>provided opportunities for</w:t>
      </w:r>
      <w:r w:rsidR="00F0334D" w:rsidRPr="00D801A9">
        <w:rPr>
          <w:rFonts w:ascii="Times New Roman" w:hAnsi="Times New Roman" w:cs="Times New Roman"/>
          <w:sz w:val="24"/>
          <w:szCs w:val="24"/>
        </w:rPr>
        <w:t xml:space="preserve"> </w:t>
      </w:r>
      <w:r w:rsidR="00B737B0" w:rsidRPr="00D801A9">
        <w:rPr>
          <w:rFonts w:ascii="Times New Roman" w:hAnsi="Times New Roman" w:cs="Times New Roman"/>
          <w:sz w:val="24"/>
          <w:szCs w:val="24"/>
        </w:rPr>
        <w:t>internal savings. I</w:t>
      </w:r>
      <w:r w:rsidRPr="00D801A9">
        <w:rPr>
          <w:rFonts w:ascii="Times New Roman" w:hAnsi="Times New Roman" w:cs="Times New Roman"/>
          <w:sz w:val="24"/>
          <w:szCs w:val="24"/>
        </w:rPr>
        <w:t>n our sample</w:t>
      </w:r>
      <w:r w:rsidR="00DA6705" w:rsidRPr="00D801A9">
        <w:rPr>
          <w:rFonts w:ascii="Times New Roman" w:hAnsi="Times New Roman" w:cs="Times New Roman"/>
          <w:sz w:val="24"/>
          <w:szCs w:val="24"/>
        </w:rPr>
        <w:t>,</w:t>
      </w:r>
      <w:r w:rsidRPr="00D801A9">
        <w:rPr>
          <w:rFonts w:ascii="Times New Roman" w:hAnsi="Times New Roman" w:cs="Times New Roman"/>
          <w:sz w:val="24"/>
          <w:szCs w:val="24"/>
        </w:rPr>
        <w:t xml:space="preserve"> we consider</w:t>
      </w:r>
      <w:r w:rsidR="00B737B0" w:rsidRPr="00D801A9">
        <w:rPr>
          <w:rFonts w:ascii="Times New Roman" w:hAnsi="Times New Roman" w:cs="Times New Roman"/>
          <w:sz w:val="24"/>
          <w:szCs w:val="24"/>
        </w:rPr>
        <w:t>ed</w:t>
      </w:r>
      <w:r w:rsidRPr="00D801A9">
        <w:rPr>
          <w:rFonts w:ascii="Times New Roman" w:hAnsi="Times New Roman" w:cs="Times New Roman"/>
          <w:sz w:val="24"/>
          <w:szCs w:val="24"/>
        </w:rPr>
        <w:t xml:space="preserve"> values</w:t>
      </w:r>
      <w:r w:rsidR="00B737B0" w:rsidRPr="00D801A9">
        <w:rPr>
          <w:rFonts w:ascii="Times New Roman" w:hAnsi="Times New Roman" w:cs="Times New Roman"/>
          <w:sz w:val="24"/>
          <w:szCs w:val="24"/>
        </w:rPr>
        <w:t xml:space="preserve"> of </w:t>
      </w:r>
      <w:r w:rsidR="00B737B0" w:rsidRPr="00D801A9">
        <w:rPr>
          <w:rFonts w:ascii="Times New Roman" w:hAnsi="Times New Roman" w:cs="Times New Roman"/>
          <w:sz w:val="24"/>
          <w:szCs w:val="24"/>
        </w:rPr>
        <w:lastRenderedPageBreak/>
        <w:t>productivity</w:t>
      </w:r>
      <w:r w:rsidRPr="00D801A9">
        <w:rPr>
          <w:rFonts w:ascii="Times New Roman" w:hAnsi="Times New Roman" w:cs="Times New Roman"/>
          <w:sz w:val="24"/>
          <w:szCs w:val="24"/>
        </w:rPr>
        <w:t xml:space="preserve"> larger than one, we have to check with values of the ratio less than one </w:t>
      </w:r>
      <w:r w:rsidR="00FD6F6E" w:rsidRPr="00D801A9">
        <w:rPr>
          <w:rFonts w:ascii="Times New Roman" w:hAnsi="Times New Roman" w:cs="Times New Roman"/>
          <w:sz w:val="24"/>
          <w:szCs w:val="24"/>
        </w:rPr>
        <w:t xml:space="preserve">to evaluate if there </w:t>
      </w:r>
      <w:r w:rsidR="00DA6705" w:rsidRPr="00D801A9">
        <w:rPr>
          <w:rFonts w:ascii="Times New Roman" w:hAnsi="Times New Roman" w:cs="Times New Roman"/>
          <w:sz w:val="24"/>
          <w:szCs w:val="24"/>
        </w:rPr>
        <w:t>was</w:t>
      </w:r>
      <w:r w:rsidR="00FD6F6E" w:rsidRPr="00D801A9">
        <w:rPr>
          <w:rFonts w:ascii="Times New Roman" w:hAnsi="Times New Roman" w:cs="Times New Roman"/>
          <w:sz w:val="24"/>
          <w:szCs w:val="24"/>
        </w:rPr>
        <w:t xml:space="preserve"> skewness.</w:t>
      </w:r>
    </w:p>
    <w:p w:rsidR="00C251D6" w:rsidRPr="00D801A9" w:rsidRDefault="00FD6F6E"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1C74F3" w:rsidRPr="00D801A9">
        <w:rPr>
          <w:rFonts w:ascii="Times New Roman" w:hAnsi="Times New Roman" w:cs="Times New Roman"/>
          <w:sz w:val="24"/>
          <w:szCs w:val="24"/>
        </w:rPr>
        <w:t>The returns ha</w:t>
      </w:r>
      <w:r w:rsidR="00941DAF" w:rsidRPr="00D801A9">
        <w:rPr>
          <w:rFonts w:ascii="Times New Roman" w:hAnsi="Times New Roman" w:cs="Times New Roman"/>
          <w:sz w:val="24"/>
          <w:szCs w:val="24"/>
        </w:rPr>
        <w:t>d</w:t>
      </w:r>
      <w:r w:rsidR="001C74F3" w:rsidRPr="00D801A9">
        <w:rPr>
          <w:rFonts w:ascii="Times New Roman" w:hAnsi="Times New Roman" w:cs="Times New Roman"/>
          <w:sz w:val="24"/>
          <w:szCs w:val="24"/>
        </w:rPr>
        <w:t xml:space="preserve"> meaningfully decreased in the first period from 0.05 to 0.01, b</w:t>
      </w:r>
      <w:r w:rsidR="00DA6705" w:rsidRPr="00D801A9">
        <w:rPr>
          <w:rFonts w:ascii="Times New Roman" w:hAnsi="Times New Roman" w:cs="Times New Roman"/>
          <w:sz w:val="24"/>
          <w:szCs w:val="24"/>
        </w:rPr>
        <w:t xml:space="preserve">ut </w:t>
      </w:r>
      <w:r w:rsidR="001C74F3" w:rsidRPr="00D801A9">
        <w:rPr>
          <w:rFonts w:ascii="Times New Roman" w:hAnsi="Times New Roman" w:cs="Times New Roman"/>
          <w:sz w:val="24"/>
          <w:szCs w:val="24"/>
        </w:rPr>
        <w:t xml:space="preserve">recovered </w:t>
      </w:r>
      <w:r w:rsidR="00DA6705" w:rsidRPr="00D801A9">
        <w:rPr>
          <w:rFonts w:ascii="Times New Roman" w:hAnsi="Times New Roman" w:cs="Times New Roman"/>
          <w:sz w:val="24"/>
          <w:szCs w:val="24"/>
        </w:rPr>
        <w:t>to</w:t>
      </w:r>
      <w:r w:rsidR="001C74F3" w:rsidRPr="00D801A9">
        <w:rPr>
          <w:rFonts w:ascii="Times New Roman" w:hAnsi="Times New Roman" w:cs="Times New Roman"/>
          <w:sz w:val="24"/>
          <w:szCs w:val="24"/>
        </w:rPr>
        <w:t xml:space="preserve"> 0.04.</w:t>
      </w:r>
      <w:r w:rsidR="00DA6705" w:rsidRPr="00D801A9">
        <w:rPr>
          <w:rFonts w:ascii="Times New Roman" w:hAnsi="Times New Roman" w:cs="Times New Roman"/>
          <w:sz w:val="24"/>
          <w:szCs w:val="24"/>
        </w:rPr>
        <w:t xml:space="preserve">  Surprisingly, the levels of dividends had</w:t>
      </w:r>
      <w:r w:rsidR="001C74F3" w:rsidRPr="00D801A9">
        <w:rPr>
          <w:rFonts w:ascii="Times New Roman" w:hAnsi="Times New Roman" w:cs="Times New Roman"/>
          <w:sz w:val="24"/>
          <w:szCs w:val="24"/>
        </w:rPr>
        <w:t xml:space="preserve"> increased compared </w:t>
      </w:r>
      <w:r w:rsidR="0074706F" w:rsidRPr="00D801A9">
        <w:rPr>
          <w:rFonts w:ascii="Times New Roman" w:hAnsi="Times New Roman" w:cs="Times New Roman"/>
          <w:sz w:val="24"/>
          <w:szCs w:val="24"/>
        </w:rPr>
        <w:t>to the</w:t>
      </w:r>
      <w:r w:rsidR="001C74F3" w:rsidRPr="00D801A9">
        <w:rPr>
          <w:rFonts w:ascii="Times New Roman" w:hAnsi="Times New Roman" w:cs="Times New Roman"/>
          <w:sz w:val="24"/>
          <w:szCs w:val="24"/>
        </w:rPr>
        <w:t xml:space="preserve"> Market Value and EBIDTA</w:t>
      </w:r>
      <w:r w:rsidR="0074706F" w:rsidRPr="00D801A9">
        <w:rPr>
          <w:rFonts w:ascii="Times New Roman" w:hAnsi="Times New Roman" w:cs="Times New Roman"/>
          <w:sz w:val="24"/>
          <w:szCs w:val="24"/>
        </w:rPr>
        <w:t>.</w:t>
      </w:r>
      <w:r w:rsidR="00F0334D" w:rsidRPr="00D801A9">
        <w:rPr>
          <w:rFonts w:ascii="Times New Roman" w:hAnsi="Times New Roman" w:cs="Times New Roman"/>
          <w:sz w:val="24"/>
          <w:szCs w:val="24"/>
        </w:rPr>
        <w:t xml:space="preserve"> </w:t>
      </w:r>
      <w:r w:rsidR="0074706F" w:rsidRPr="00D801A9">
        <w:rPr>
          <w:rFonts w:ascii="Times New Roman" w:hAnsi="Times New Roman" w:cs="Times New Roman"/>
          <w:sz w:val="24"/>
          <w:szCs w:val="24"/>
        </w:rPr>
        <w:t>T</w:t>
      </w:r>
      <w:r w:rsidR="001C74F3" w:rsidRPr="00D801A9">
        <w:rPr>
          <w:rFonts w:ascii="Times New Roman" w:hAnsi="Times New Roman" w:cs="Times New Roman"/>
          <w:sz w:val="24"/>
          <w:szCs w:val="24"/>
        </w:rPr>
        <w:t>his evidence is at odds with economic intuition, that in crisis</w:t>
      </w:r>
      <w:r w:rsidR="0074706F" w:rsidRPr="00D801A9">
        <w:rPr>
          <w:rFonts w:ascii="Times New Roman" w:hAnsi="Times New Roman" w:cs="Times New Roman"/>
          <w:sz w:val="24"/>
          <w:szCs w:val="24"/>
        </w:rPr>
        <w:t>,</w:t>
      </w:r>
      <w:r w:rsidR="001C74F3" w:rsidRPr="00D801A9">
        <w:rPr>
          <w:rFonts w:ascii="Times New Roman" w:hAnsi="Times New Roman" w:cs="Times New Roman"/>
          <w:sz w:val="24"/>
          <w:szCs w:val="24"/>
        </w:rPr>
        <w:t xml:space="preserve"> liquidity is a problem and </w:t>
      </w:r>
      <w:r w:rsidR="00F0334D" w:rsidRPr="00D801A9">
        <w:rPr>
          <w:rFonts w:ascii="Times New Roman" w:hAnsi="Times New Roman" w:cs="Times New Roman"/>
          <w:sz w:val="24"/>
          <w:szCs w:val="24"/>
        </w:rPr>
        <w:t>a method of internal funds is</w:t>
      </w:r>
      <w:r w:rsidR="001C74F3" w:rsidRPr="00D801A9">
        <w:rPr>
          <w:rFonts w:ascii="Times New Roman" w:hAnsi="Times New Roman" w:cs="Times New Roman"/>
          <w:sz w:val="24"/>
          <w:szCs w:val="24"/>
        </w:rPr>
        <w:t xml:space="preserve"> </w:t>
      </w:r>
      <w:r w:rsidR="00A8188E" w:rsidRPr="00D801A9">
        <w:rPr>
          <w:rFonts w:ascii="Times New Roman" w:hAnsi="Times New Roman" w:cs="Times New Roman"/>
          <w:sz w:val="24"/>
          <w:szCs w:val="24"/>
        </w:rPr>
        <w:t xml:space="preserve">to reduce </w:t>
      </w:r>
      <w:r w:rsidR="001C74F3" w:rsidRPr="00D801A9">
        <w:rPr>
          <w:rFonts w:ascii="Times New Roman" w:hAnsi="Times New Roman" w:cs="Times New Roman"/>
          <w:sz w:val="24"/>
          <w:szCs w:val="24"/>
        </w:rPr>
        <w:t>dividends.</w:t>
      </w:r>
      <w:r w:rsidR="00842A65" w:rsidRPr="00D801A9">
        <w:rPr>
          <w:rFonts w:ascii="Times New Roman" w:hAnsi="Times New Roman" w:cs="Times New Roman"/>
          <w:sz w:val="24"/>
          <w:szCs w:val="24"/>
        </w:rPr>
        <w:t xml:space="preserve">  A possible explanation</w:t>
      </w:r>
      <w:r w:rsidR="001C74F3" w:rsidRPr="00D801A9">
        <w:rPr>
          <w:rFonts w:ascii="Times New Roman" w:hAnsi="Times New Roman" w:cs="Times New Roman"/>
          <w:sz w:val="24"/>
          <w:szCs w:val="24"/>
        </w:rPr>
        <w:t xml:space="preserve"> is the reduction </w:t>
      </w:r>
      <w:r w:rsidR="00842A65" w:rsidRPr="00D801A9">
        <w:rPr>
          <w:rFonts w:ascii="Times New Roman" w:hAnsi="Times New Roman" w:cs="Times New Roman"/>
          <w:sz w:val="24"/>
          <w:szCs w:val="24"/>
        </w:rPr>
        <w:t xml:space="preserve">in </w:t>
      </w:r>
      <w:r w:rsidR="00410C87" w:rsidRPr="00D801A9">
        <w:rPr>
          <w:rFonts w:ascii="Times New Roman" w:hAnsi="Times New Roman" w:cs="Times New Roman"/>
          <w:sz w:val="24"/>
          <w:szCs w:val="24"/>
        </w:rPr>
        <w:t>prices, as compared with the Assets, dividends had</w:t>
      </w:r>
      <w:r w:rsidR="001C74F3" w:rsidRPr="00D801A9">
        <w:rPr>
          <w:rFonts w:ascii="Times New Roman" w:hAnsi="Times New Roman" w:cs="Times New Roman"/>
          <w:sz w:val="24"/>
          <w:szCs w:val="24"/>
        </w:rPr>
        <w:t xml:space="preserve"> decrease</w:t>
      </w:r>
      <w:r w:rsidR="00410C87" w:rsidRPr="00D801A9">
        <w:rPr>
          <w:rFonts w:ascii="Times New Roman" w:hAnsi="Times New Roman" w:cs="Times New Roman"/>
          <w:sz w:val="24"/>
          <w:szCs w:val="24"/>
        </w:rPr>
        <w:t>d</w:t>
      </w:r>
      <w:r w:rsidR="001C74F3" w:rsidRPr="00D801A9">
        <w:rPr>
          <w:rFonts w:ascii="Times New Roman" w:hAnsi="Times New Roman" w:cs="Times New Roman"/>
          <w:sz w:val="24"/>
          <w:szCs w:val="24"/>
        </w:rPr>
        <w:t xml:space="preserve"> a little. Finally the opportunities of in</w:t>
      </w:r>
      <w:r w:rsidR="0068220B" w:rsidRPr="00D801A9">
        <w:rPr>
          <w:rFonts w:ascii="Times New Roman" w:hAnsi="Times New Roman" w:cs="Times New Roman"/>
          <w:sz w:val="24"/>
          <w:szCs w:val="24"/>
        </w:rPr>
        <w:t>vestment,</w:t>
      </w:r>
      <w:r w:rsidR="001C74F3" w:rsidRPr="00D801A9">
        <w:rPr>
          <w:rFonts w:ascii="Times New Roman" w:hAnsi="Times New Roman" w:cs="Times New Roman"/>
          <w:sz w:val="24"/>
          <w:szCs w:val="24"/>
        </w:rPr>
        <w:t xml:space="preserve"> measure</w:t>
      </w:r>
      <w:r w:rsidR="0068220B" w:rsidRPr="00D801A9">
        <w:rPr>
          <w:rFonts w:ascii="Times New Roman" w:hAnsi="Times New Roman" w:cs="Times New Roman"/>
          <w:sz w:val="24"/>
          <w:szCs w:val="24"/>
        </w:rPr>
        <w:t>d</w:t>
      </w:r>
      <w:r w:rsidR="001C74F3" w:rsidRPr="00D801A9">
        <w:rPr>
          <w:rFonts w:ascii="Times New Roman" w:hAnsi="Times New Roman" w:cs="Times New Roman"/>
          <w:sz w:val="24"/>
          <w:szCs w:val="24"/>
        </w:rPr>
        <w:t xml:space="preserve"> by Tobin’s q</w:t>
      </w:r>
      <w:r w:rsidR="0068220B" w:rsidRPr="00D801A9">
        <w:rPr>
          <w:rFonts w:ascii="Times New Roman" w:hAnsi="Times New Roman" w:cs="Times New Roman"/>
          <w:sz w:val="24"/>
          <w:szCs w:val="24"/>
        </w:rPr>
        <w:t>, had</w:t>
      </w:r>
      <w:r w:rsidR="001C74F3" w:rsidRPr="00D801A9">
        <w:rPr>
          <w:rFonts w:ascii="Times New Roman" w:hAnsi="Times New Roman" w:cs="Times New Roman"/>
          <w:sz w:val="24"/>
          <w:szCs w:val="24"/>
        </w:rPr>
        <w:t xml:space="preserve"> increased comparing the </w:t>
      </w:r>
      <w:r w:rsidR="0068220B" w:rsidRPr="00D801A9">
        <w:rPr>
          <w:rFonts w:ascii="Times New Roman" w:hAnsi="Times New Roman" w:cs="Times New Roman"/>
          <w:sz w:val="24"/>
          <w:szCs w:val="24"/>
        </w:rPr>
        <w:t>third period with the second</w:t>
      </w:r>
      <w:r w:rsidR="00504AE9" w:rsidRPr="00D801A9">
        <w:rPr>
          <w:rFonts w:ascii="Times New Roman" w:hAnsi="Times New Roman" w:cs="Times New Roman"/>
          <w:sz w:val="24"/>
          <w:szCs w:val="24"/>
        </w:rPr>
        <w:t>, but lessened</w:t>
      </w:r>
      <w:r w:rsidR="001C74F3" w:rsidRPr="00D801A9">
        <w:rPr>
          <w:rFonts w:ascii="Times New Roman" w:hAnsi="Times New Roman" w:cs="Times New Roman"/>
          <w:sz w:val="24"/>
          <w:szCs w:val="24"/>
        </w:rPr>
        <w:t xml:space="preserve"> comparing </w:t>
      </w:r>
      <w:r w:rsidR="00504AE9" w:rsidRPr="00D801A9">
        <w:rPr>
          <w:rFonts w:ascii="Times New Roman" w:hAnsi="Times New Roman" w:cs="Times New Roman"/>
          <w:sz w:val="24"/>
          <w:szCs w:val="24"/>
        </w:rPr>
        <w:t xml:space="preserve">the third </w:t>
      </w:r>
      <w:r w:rsidR="001C74F3" w:rsidRPr="00D801A9">
        <w:rPr>
          <w:rFonts w:ascii="Times New Roman" w:hAnsi="Times New Roman" w:cs="Times New Roman"/>
          <w:sz w:val="24"/>
          <w:szCs w:val="24"/>
        </w:rPr>
        <w:t>with the initial period.</w:t>
      </w:r>
    </w:p>
    <w:p w:rsidR="00C251D6" w:rsidRPr="00D801A9" w:rsidRDefault="003F750C" w:rsidP="00D801A9">
      <w:pPr>
        <w:spacing w:line="360" w:lineRule="auto"/>
        <w:jc w:val="both"/>
        <w:rPr>
          <w:rFonts w:ascii="Times New Roman" w:hAnsi="Times New Roman" w:cs="Times New Roman"/>
          <w:sz w:val="24"/>
          <w:szCs w:val="24"/>
        </w:rPr>
      </w:pPr>
      <w:r w:rsidRPr="00D801A9">
        <w:rPr>
          <w:rFonts w:ascii="Times New Roman" w:hAnsi="Times New Roman" w:cs="Times New Roman"/>
          <w:sz w:val="24"/>
          <w:szCs w:val="24"/>
        </w:rPr>
        <w:tab/>
      </w:r>
      <w:r w:rsidR="00554A19" w:rsidRPr="00D801A9">
        <w:rPr>
          <w:rFonts w:ascii="Times New Roman" w:hAnsi="Times New Roman" w:cs="Times New Roman"/>
          <w:sz w:val="24"/>
          <w:szCs w:val="24"/>
        </w:rPr>
        <w:t xml:space="preserve">We know that </w:t>
      </w:r>
      <w:r w:rsidR="001C74F3" w:rsidRPr="00D801A9">
        <w:rPr>
          <w:rFonts w:ascii="Times New Roman" w:hAnsi="Times New Roman" w:cs="Times New Roman"/>
          <w:sz w:val="24"/>
          <w:szCs w:val="24"/>
        </w:rPr>
        <w:t>gold is a very speci</w:t>
      </w:r>
      <w:r w:rsidR="00D832C5" w:rsidRPr="00D801A9">
        <w:rPr>
          <w:rFonts w:ascii="Times New Roman" w:hAnsi="Times New Roman" w:cs="Times New Roman"/>
          <w:sz w:val="24"/>
          <w:szCs w:val="24"/>
        </w:rPr>
        <w:t xml:space="preserve">al commodity which is used as </w:t>
      </w:r>
      <w:r w:rsidR="00711FEC" w:rsidRPr="00D801A9">
        <w:rPr>
          <w:rFonts w:ascii="Times New Roman" w:hAnsi="Times New Roman" w:cs="Times New Roman"/>
          <w:sz w:val="24"/>
          <w:szCs w:val="24"/>
        </w:rPr>
        <w:t>a hedge</w:t>
      </w:r>
      <w:r w:rsidR="001C74F3" w:rsidRPr="00D801A9">
        <w:rPr>
          <w:rFonts w:ascii="Times New Roman" w:hAnsi="Times New Roman" w:cs="Times New Roman"/>
          <w:sz w:val="24"/>
          <w:szCs w:val="24"/>
        </w:rPr>
        <w:t xml:space="preserve"> in </w:t>
      </w:r>
      <w:r w:rsidR="00D832C5" w:rsidRPr="00D801A9">
        <w:rPr>
          <w:rFonts w:ascii="Times New Roman" w:hAnsi="Times New Roman" w:cs="Times New Roman"/>
          <w:sz w:val="24"/>
          <w:szCs w:val="24"/>
        </w:rPr>
        <w:t>times of crisis. T</w:t>
      </w:r>
      <w:r w:rsidR="001C74F3" w:rsidRPr="00D801A9">
        <w:rPr>
          <w:rFonts w:ascii="Times New Roman" w:hAnsi="Times New Roman" w:cs="Times New Roman"/>
          <w:sz w:val="24"/>
          <w:szCs w:val="24"/>
        </w:rPr>
        <w:t xml:space="preserve">o check for robustness of </w:t>
      </w:r>
      <w:r w:rsidR="00D832C5" w:rsidRPr="00D801A9">
        <w:rPr>
          <w:rFonts w:ascii="Times New Roman" w:hAnsi="Times New Roman" w:cs="Times New Roman"/>
          <w:sz w:val="24"/>
          <w:szCs w:val="24"/>
        </w:rPr>
        <w:t xml:space="preserve">the data, we have exclude from our sample, </w:t>
      </w:r>
      <w:r w:rsidR="001C74F3" w:rsidRPr="00D801A9">
        <w:rPr>
          <w:rFonts w:ascii="Times New Roman" w:hAnsi="Times New Roman" w:cs="Times New Roman"/>
          <w:sz w:val="24"/>
          <w:szCs w:val="24"/>
        </w:rPr>
        <w:t>companies w</w:t>
      </w:r>
      <w:r w:rsidR="00711FEC" w:rsidRPr="00D801A9">
        <w:rPr>
          <w:rFonts w:ascii="Times New Roman" w:hAnsi="Times New Roman" w:cs="Times New Roman"/>
          <w:sz w:val="24"/>
          <w:szCs w:val="24"/>
        </w:rPr>
        <w:t>ho’</w:t>
      </w:r>
      <w:r w:rsidR="00D832C5" w:rsidRPr="00D801A9">
        <w:rPr>
          <w:rFonts w:ascii="Times New Roman" w:hAnsi="Times New Roman" w:cs="Times New Roman"/>
          <w:sz w:val="24"/>
          <w:szCs w:val="24"/>
        </w:rPr>
        <w:t>s</w:t>
      </w:r>
      <w:r w:rsidR="001C74F3" w:rsidRPr="00D801A9">
        <w:rPr>
          <w:rFonts w:ascii="Times New Roman" w:hAnsi="Times New Roman" w:cs="Times New Roman"/>
          <w:sz w:val="24"/>
          <w:szCs w:val="24"/>
        </w:rPr>
        <w:t xml:space="preserve"> main product is gold and its derivatives. We can see in </w:t>
      </w:r>
      <w:r w:rsidR="003F0AC6" w:rsidRPr="00D801A9">
        <w:rPr>
          <w:rFonts w:ascii="Times New Roman" w:hAnsi="Times New Roman" w:cs="Times New Roman"/>
          <w:sz w:val="24"/>
          <w:szCs w:val="24"/>
        </w:rPr>
        <w:t>T</w:t>
      </w:r>
      <w:r w:rsidR="001C74F3" w:rsidRPr="00D801A9">
        <w:rPr>
          <w:rFonts w:ascii="Times New Roman" w:hAnsi="Times New Roman" w:cs="Times New Roman"/>
          <w:sz w:val="24"/>
          <w:szCs w:val="24"/>
        </w:rPr>
        <w:t>able II the main difference is in the value of the stock prices</w:t>
      </w:r>
      <w:r w:rsidR="00711FEC" w:rsidRPr="00D801A9">
        <w:rPr>
          <w:rFonts w:ascii="Times New Roman" w:hAnsi="Times New Roman" w:cs="Times New Roman"/>
          <w:sz w:val="24"/>
          <w:szCs w:val="24"/>
        </w:rPr>
        <w:t xml:space="preserve"> as they</w:t>
      </w:r>
      <w:r w:rsidR="001C74F3" w:rsidRPr="00D801A9">
        <w:rPr>
          <w:rFonts w:ascii="Times New Roman" w:hAnsi="Times New Roman" w:cs="Times New Roman"/>
          <w:sz w:val="24"/>
          <w:szCs w:val="24"/>
        </w:rPr>
        <w:t xml:space="preserve"> f</w:t>
      </w:r>
      <w:r w:rsidR="003F0AC6" w:rsidRPr="00D801A9">
        <w:rPr>
          <w:rFonts w:ascii="Times New Roman" w:hAnsi="Times New Roman" w:cs="Times New Roman"/>
          <w:sz w:val="24"/>
          <w:szCs w:val="24"/>
        </w:rPr>
        <w:t>e</w:t>
      </w:r>
      <w:r w:rsidR="001C74F3" w:rsidRPr="00D801A9">
        <w:rPr>
          <w:rFonts w:ascii="Times New Roman" w:hAnsi="Times New Roman" w:cs="Times New Roman"/>
          <w:sz w:val="24"/>
          <w:szCs w:val="24"/>
        </w:rPr>
        <w:t xml:space="preserve">ll 29% considering gold mining companies, </w:t>
      </w:r>
      <w:r w:rsidR="003F0AC6" w:rsidRPr="00D801A9">
        <w:rPr>
          <w:rFonts w:ascii="Times New Roman" w:hAnsi="Times New Roman" w:cs="Times New Roman"/>
          <w:sz w:val="24"/>
          <w:szCs w:val="24"/>
        </w:rPr>
        <w:t>but 36.5% excluding them</w:t>
      </w:r>
      <w:r w:rsidR="001D6FDC" w:rsidRPr="00D801A9">
        <w:rPr>
          <w:rFonts w:ascii="Times New Roman" w:hAnsi="Times New Roman" w:cs="Times New Roman"/>
          <w:sz w:val="24"/>
          <w:szCs w:val="24"/>
        </w:rPr>
        <w:t xml:space="preserve">. Another difference is found in </w:t>
      </w:r>
      <w:r w:rsidR="001C74F3" w:rsidRPr="00D801A9">
        <w:rPr>
          <w:rFonts w:ascii="Times New Roman" w:hAnsi="Times New Roman" w:cs="Times New Roman"/>
          <w:sz w:val="24"/>
          <w:szCs w:val="24"/>
        </w:rPr>
        <w:t>the ratio Div/EBIDTA</w:t>
      </w:r>
      <w:r w:rsidR="001D6FDC" w:rsidRPr="00D801A9">
        <w:rPr>
          <w:rFonts w:ascii="Times New Roman" w:hAnsi="Times New Roman" w:cs="Times New Roman"/>
          <w:sz w:val="24"/>
          <w:szCs w:val="24"/>
        </w:rPr>
        <w:t xml:space="preserve"> which</w:t>
      </w:r>
      <w:r w:rsidR="001C74F3" w:rsidRPr="00D801A9">
        <w:rPr>
          <w:rFonts w:ascii="Times New Roman" w:hAnsi="Times New Roman" w:cs="Times New Roman"/>
          <w:sz w:val="24"/>
          <w:szCs w:val="24"/>
        </w:rPr>
        <w:t xml:space="preserve"> is larger if we consider the mining firms in our sample.</w:t>
      </w:r>
    </w:p>
    <w:p w:rsidR="00C251D6" w:rsidRPr="00D801A9" w:rsidRDefault="00C251D6" w:rsidP="00D801A9">
      <w:pPr>
        <w:spacing w:line="360" w:lineRule="auto"/>
        <w:jc w:val="center"/>
        <w:rPr>
          <w:rFonts w:ascii="Times New Roman" w:hAnsi="Times New Roman" w:cs="Times New Roman"/>
          <w:sz w:val="24"/>
          <w:szCs w:val="24"/>
        </w:rPr>
      </w:pPr>
    </w:p>
    <w:p w:rsidR="00C251D6" w:rsidRPr="00D801A9" w:rsidRDefault="001C74F3" w:rsidP="00D801A9">
      <w:pPr>
        <w:spacing w:line="360" w:lineRule="auto"/>
        <w:jc w:val="center"/>
        <w:rPr>
          <w:rFonts w:ascii="Times New Roman" w:hAnsi="Times New Roman" w:cs="Times New Roman"/>
          <w:b/>
          <w:bCs/>
          <w:sz w:val="24"/>
          <w:szCs w:val="24"/>
        </w:rPr>
      </w:pPr>
      <w:bookmarkStart w:id="1" w:name="__DdeLink__2284_1951151270"/>
      <w:bookmarkEnd w:id="1"/>
      <w:r w:rsidRPr="00D801A9">
        <w:rPr>
          <w:rFonts w:ascii="Times New Roman" w:hAnsi="Times New Roman" w:cs="Times New Roman"/>
          <w:b/>
          <w:bCs/>
          <w:sz w:val="24"/>
          <w:szCs w:val="24"/>
        </w:rPr>
        <w:t>MORE DETAILS IN PROGRESS</w:t>
      </w:r>
    </w:p>
    <w:p w:rsidR="00C251D6" w:rsidRPr="00D801A9" w:rsidRDefault="00C251D6" w:rsidP="00D801A9">
      <w:pPr>
        <w:spacing w:line="360" w:lineRule="auto"/>
        <w:rPr>
          <w:rFonts w:ascii="Times New Roman" w:hAnsi="Times New Roman" w:cs="Times New Roman"/>
          <w:sz w:val="24"/>
          <w:szCs w:val="24"/>
        </w:rPr>
      </w:pPr>
    </w:p>
    <w:p w:rsidR="00C251D6" w:rsidRDefault="001C74F3">
      <w:pPr>
        <w:pageBreakBefore/>
        <w:jc w:val="center"/>
        <w:rPr>
          <w:rFonts w:ascii="Times New Roman" w:hAnsi="Times New Roman" w:cs="Times New Roman"/>
        </w:rPr>
      </w:pPr>
      <w:r>
        <w:rPr>
          <w:rFonts w:ascii="Times New Roman" w:hAnsi="Times New Roman" w:cs="Times New Roman"/>
        </w:rPr>
        <w:lastRenderedPageBreak/>
        <w:t>Table II</w:t>
      </w:r>
    </w:p>
    <w:p w:rsidR="00C251D6" w:rsidRDefault="001C74F3">
      <w:pPr>
        <w:jc w:val="center"/>
        <w:rPr>
          <w:rFonts w:ascii="Times New Roman" w:hAnsi="Times New Roman" w:cs="Times New Roman"/>
        </w:rPr>
      </w:pPr>
      <w:r>
        <w:rPr>
          <w:rFonts w:ascii="Times New Roman" w:hAnsi="Times New Roman" w:cs="Times New Roman"/>
        </w:rPr>
        <w:t xml:space="preserve">Summary Statistics </w:t>
      </w:r>
    </w:p>
    <w:p w:rsidR="00C251D6" w:rsidRDefault="001C74F3">
      <w:pPr>
        <w:jc w:val="center"/>
        <w:rPr>
          <w:rFonts w:ascii="Times New Roman" w:hAnsi="Times New Roman" w:cs="Times New Roman"/>
        </w:rPr>
      </w:pPr>
      <w:r>
        <w:rPr>
          <w:rFonts w:ascii="Times New Roman" w:hAnsi="Times New Roman" w:cs="Times New Roman"/>
        </w:rPr>
        <w:t xml:space="preserve">(Robustness check) </w:t>
      </w:r>
    </w:p>
    <w:p w:rsidR="00C251D6" w:rsidRDefault="00FB2645">
      <w:pPr>
        <w:rPr>
          <w:rFonts w:ascii="Times New Roman" w:hAnsi="Times New Roman" w:cs="Times New Roman"/>
          <w:sz w:val="20"/>
          <w:szCs w:val="20"/>
        </w:rPr>
      </w:pPr>
      <w:r>
        <w:rPr>
          <w:rFonts w:ascii="Times New Roman" w:hAnsi="Times New Roman" w:cs="Times New Roman"/>
          <w:sz w:val="20"/>
          <w:szCs w:val="20"/>
        </w:rPr>
        <w:t>The sample consists of all US</w:t>
      </w:r>
      <w:r w:rsidR="001C74F3">
        <w:rPr>
          <w:rFonts w:ascii="Times New Roman" w:hAnsi="Times New Roman" w:cs="Times New Roman"/>
          <w:sz w:val="20"/>
          <w:szCs w:val="20"/>
        </w:rPr>
        <w:t xml:space="preserve"> Mining firms (except companies that produce gold)  in the COMPUSTAT database from 2002 to 2007. The table presents variable averages, medians (in brackets), and standard deviations (SD). </w:t>
      </w:r>
    </w:p>
    <w:tbl>
      <w:tblPr>
        <w:tblW w:w="0" w:type="auto"/>
        <w:tblBorders>
          <w:top w:val="single" w:sz="4" w:space="0" w:color="00000A"/>
          <w:left w:val="nil"/>
          <w:bottom w:val="nil"/>
          <w:right w:val="nil"/>
          <w:insideH w:val="nil"/>
          <w:insideV w:val="nil"/>
        </w:tblBorders>
        <w:tblLook w:val="04A0"/>
      </w:tblPr>
      <w:tblGrid>
        <w:gridCol w:w="2445"/>
        <w:gridCol w:w="1077"/>
        <w:gridCol w:w="1261"/>
        <w:gridCol w:w="1260"/>
        <w:gridCol w:w="1348"/>
        <w:gridCol w:w="1078"/>
        <w:gridCol w:w="997"/>
      </w:tblGrid>
      <w:tr w:rsidR="00C251D6">
        <w:trPr>
          <w:cantSplit/>
        </w:trPr>
        <w:tc>
          <w:tcPr>
            <w:tcW w:w="2445" w:type="dxa"/>
            <w:tcBorders>
              <w:top w:val="single" w:sz="4" w:space="0" w:color="00000A"/>
              <w:left w:val="nil"/>
              <w:bottom w:val="nil"/>
              <w:right w:val="nil"/>
            </w:tcBorders>
            <w:shd w:val="clear" w:color="auto" w:fill="FFFFFF"/>
          </w:tcPr>
          <w:p w:rsidR="00C251D6" w:rsidRDefault="00C251D6">
            <w:pPr>
              <w:spacing w:after="0"/>
              <w:rPr>
                <w:rFonts w:ascii="Times New Roman" w:hAnsi="Times New Roman" w:cs="Times New Roman"/>
              </w:rPr>
            </w:pPr>
          </w:p>
        </w:tc>
        <w:tc>
          <w:tcPr>
            <w:tcW w:w="2338" w:type="dxa"/>
            <w:gridSpan w:val="2"/>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2002 - 2007</w:t>
            </w:r>
          </w:p>
        </w:tc>
        <w:tc>
          <w:tcPr>
            <w:tcW w:w="2608" w:type="dxa"/>
            <w:gridSpan w:val="2"/>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2008-2009</w:t>
            </w:r>
          </w:p>
        </w:tc>
        <w:tc>
          <w:tcPr>
            <w:tcW w:w="2074" w:type="dxa"/>
            <w:gridSpan w:val="2"/>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2010 - 2013</w:t>
            </w:r>
          </w:p>
        </w:tc>
      </w:tr>
      <w:tr w:rsidR="00C251D6">
        <w:trPr>
          <w:cantSplit/>
        </w:trPr>
        <w:tc>
          <w:tcPr>
            <w:tcW w:w="2445" w:type="dxa"/>
            <w:tcBorders>
              <w:top w:val="nil"/>
              <w:left w:val="nil"/>
              <w:bottom w:val="single" w:sz="4" w:space="0" w:color="00000A"/>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Variable</w:t>
            </w:r>
          </w:p>
        </w:tc>
        <w:tc>
          <w:tcPr>
            <w:tcW w:w="1077"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Mean [Median]</w:t>
            </w:r>
          </w:p>
        </w:tc>
        <w:tc>
          <w:tcPr>
            <w:tcW w:w="1260"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(SD)</w:t>
            </w:r>
          </w:p>
        </w:tc>
        <w:tc>
          <w:tcPr>
            <w:tcW w:w="1260"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Mean [Median]</w:t>
            </w:r>
          </w:p>
        </w:tc>
        <w:tc>
          <w:tcPr>
            <w:tcW w:w="1348"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(SD)</w:t>
            </w:r>
          </w:p>
        </w:tc>
        <w:tc>
          <w:tcPr>
            <w:tcW w:w="1078"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Mean [Median]</w:t>
            </w:r>
          </w:p>
        </w:tc>
        <w:tc>
          <w:tcPr>
            <w:tcW w:w="997"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(SD)</w:t>
            </w:r>
          </w:p>
        </w:tc>
      </w:tr>
      <w:tr w:rsidR="00C251D6">
        <w:trPr>
          <w:cantSplit/>
        </w:trPr>
        <w:tc>
          <w:tcPr>
            <w:tcW w:w="2445" w:type="dxa"/>
            <w:tcBorders>
              <w:top w:val="single" w:sz="4" w:space="0" w:color="00000A"/>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Revenue (log(sales))</w:t>
            </w:r>
          </w:p>
        </w:tc>
        <w:tc>
          <w:tcPr>
            <w:tcW w:w="1077"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2.39</w:t>
            </w:r>
          </w:p>
        </w:tc>
        <w:tc>
          <w:tcPr>
            <w:tcW w:w="1260"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(1.19)</w:t>
            </w:r>
          </w:p>
        </w:tc>
        <w:tc>
          <w:tcPr>
            <w:tcW w:w="1260"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2.37</w:t>
            </w:r>
          </w:p>
        </w:tc>
        <w:tc>
          <w:tcPr>
            <w:tcW w:w="1348"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(1.12)</w:t>
            </w:r>
          </w:p>
        </w:tc>
        <w:tc>
          <w:tcPr>
            <w:tcW w:w="1078"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2.27</w:t>
            </w:r>
          </w:p>
        </w:tc>
        <w:tc>
          <w:tcPr>
            <w:tcW w:w="997"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(1.18)</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[2.54]</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[2.36]</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[2.33]</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Prices</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24.37</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(37.80)</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14.91</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(26.04)</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15.48</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(23.05)</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[11.26]</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[3.64]</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[4.53]</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Market to Book</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1.81</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(1.65)</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1.15</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(1.18)</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1.46</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(2.03)</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[1.44]</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[0.85]</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[1.08]</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Book leverage</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(0.16)</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0.21</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(0.16)</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0.21</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(0.16)</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[0.17]</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[0.18]</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Market leverage</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0.19</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(0.19)</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0.26</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(0.22)</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0.23</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(0.21)</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[0.13]</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[0.17]</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Capex / Assets</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0.11</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(0.10)</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0.11</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(0.10)</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0.11</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(0.11)</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 xml:space="preserve">Productivity </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0.87</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(0.86)</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1.07</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(1.25)</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0.91</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(1.13)</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[0.73]</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[0.73]</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[0.71]</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ROA</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(0.20)</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0.04</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(0.23)</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0.04</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(0.25)</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Dividends / Assets</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0.018</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(0.06)</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0.011</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0.014</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(0.04)</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Dividends/Market Value</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0.017</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0.017</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0.012</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Div/EBIDTA</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0.054</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(0.43)</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0.076</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(0.71)</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0.085</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(0.70)</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Tobin’s q</w:t>
            </w: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2.83</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(4.72)</w:t>
            </w: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1.59</w:t>
            </w:r>
          </w:p>
        </w:tc>
        <w:tc>
          <w:tcPr>
            <w:tcW w:w="134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(1.60)</w:t>
            </w: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2.02</w:t>
            </w:r>
          </w:p>
        </w:tc>
        <w:tc>
          <w:tcPr>
            <w:tcW w:w="99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(3.15)</w:t>
            </w:r>
          </w:p>
        </w:tc>
      </w:tr>
      <w:tr w:rsidR="00C251D6">
        <w:trPr>
          <w:cantSplit/>
        </w:trPr>
        <w:tc>
          <w:tcPr>
            <w:tcW w:w="2445"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[1.98]</w:t>
            </w:r>
          </w:p>
        </w:tc>
        <w:tc>
          <w:tcPr>
            <w:tcW w:w="126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[1.22]</w:t>
            </w:r>
          </w:p>
        </w:tc>
        <w:tc>
          <w:tcPr>
            <w:tcW w:w="134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[1.45]</w:t>
            </w:r>
          </w:p>
        </w:tc>
        <w:tc>
          <w:tcPr>
            <w:tcW w:w="99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trPr>
        <w:tc>
          <w:tcPr>
            <w:tcW w:w="2445" w:type="dxa"/>
            <w:tcBorders>
              <w:top w:val="nil"/>
              <w:left w:val="nil"/>
              <w:bottom w:val="single" w:sz="4" w:space="0" w:color="00000A"/>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Obs.</w:t>
            </w:r>
          </w:p>
        </w:tc>
        <w:tc>
          <w:tcPr>
            <w:tcW w:w="1077" w:type="dxa"/>
            <w:tcBorders>
              <w:top w:val="nil"/>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390</w:t>
            </w:r>
          </w:p>
        </w:tc>
        <w:tc>
          <w:tcPr>
            <w:tcW w:w="1260"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260" w:type="dxa"/>
            <w:tcBorders>
              <w:top w:val="nil"/>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180</w:t>
            </w:r>
          </w:p>
        </w:tc>
        <w:tc>
          <w:tcPr>
            <w:tcW w:w="1348"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078" w:type="dxa"/>
            <w:tcBorders>
              <w:top w:val="nil"/>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363</w:t>
            </w:r>
          </w:p>
        </w:tc>
        <w:tc>
          <w:tcPr>
            <w:tcW w:w="997"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r>
    </w:tbl>
    <w:p w:rsidR="00C251D6" w:rsidRDefault="00C251D6">
      <w:pPr>
        <w:spacing w:line="480" w:lineRule="auto"/>
        <w:jc w:val="both"/>
        <w:rPr>
          <w:rFonts w:ascii="Times New Roman" w:hAnsi="Times New Roman" w:cs="Times New Roman"/>
        </w:rPr>
      </w:pPr>
    </w:p>
    <w:p w:rsidR="00C251D6" w:rsidRPr="00DB2000" w:rsidRDefault="001C74F3" w:rsidP="00DB2000">
      <w:pPr>
        <w:spacing w:line="360" w:lineRule="auto"/>
        <w:jc w:val="both"/>
        <w:rPr>
          <w:rFonts w:ascii="Times New Roman" w:hAnsi="Times New Roman" w:cs="Times New Roman"/>
          <w:b/>
          <w:sz w:val="24"/>
          <w:szCs w:val="24"/>
        </w:rPr>
      </w:pPr>
      <w:r w:rsidRPr="00DB2000">
        <w:rPr>
          <w:rFonts w:ascii="Times New Roman" w:hAnsi="Times New Roman" w:cs="Times New Roman"/>
          <w:b/>
          <w:sz w:val="24"/>
          <w:szCs w:val="24"/>
        </w:rPr>
        <w:t>Linear Model of Earning Expectations</w:t>
      </w:r>
    </w:p>
    <w:p w:rsidR="00C251D6" w:rsidRPr="00DB2000" w:rsidRDefault="007B3EA1"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ab/>
      </w:r>
      <w:r w:rsidR="001C74F3" w:rsidRPr="00DB2000">
        <w:rPr>
          <w:rFonts w:ascii="Times New Roman" w:hAnsi="Times New Roman" w:cs="Times New Roman"/>
          <w:sz w:val="24"/>
          <w:szCs w:val="24"/>
        </w:rPr>
        <w:t>We examine the relation</w:t>
      </w:r>
      <w:r w:rsidR="00FB2645" w:rsidRPr="00DB2000">
        <w:rPr>
          <w:rFonts w:ascii="Times New Roman" w:hAnsi="Times New Roman" w:cs="Times New Roman"/>
          <w:sz w:val="24"/>
          <w:szCs w:val="24"/>
        </w:rPr>
        <w:t xml:space="preserve">ship between </w:t>
      </w:r>
      <w:r w:rsidR="001C74F3" w:rsidRPr="00DB2000">
        <w:rPr>
          <w:rFonts w:ascii="Times New Roman" w:hAnsi="Times New Roman" w:cs="Times New Roman"/>
          <w:sz w:val="24"/>
          <w:szCs w:val="24"/>
        </w:rPr>
        <w:t>dividend changes and future earnings changes using a linea</w:t>
      </w:r>
      <w:r w:rsidRPr="00DB2000">
        <w:rPr>
          <w:rFonts w:ascii="Times New Roman" w:hAnsi="Times New Roman" w:cs="Times New Roman"/>
          <w:sz w:val="24"/>
          <w:szCs w:val="24"/>
        </w:rPr>
        <w:t>r model of earning expectations.  To this end,</w:t>
      </w:r>
      <w:r w:rsidR="001C74F3" w:rsidRPr="00DB2000">
        <w:rPr>
          <w:rFonts w:ascii="Times New Roman" w:hAnsi="Times New Roman" w:cs="Times New Roman"/>
          <w:sz w:val="24"/>
          <w:szCs w:val="24"/>
        </w:rPr>
        <w:t xml:space="preserve"> we use the linear model of Nissim and </w:t>
      </w:r>
      <w:r w:rsidR="001C74F3" w:rsidRPr="00DB2000">
        <w:rPr>
          <w:rFonts w:ascii="Times New Roman" w:hAnsi="Times New Roman" w:cs="Times New Roman"/>
          <w:sz w:val="24"/>
          <w:szCs w:val="24"/>
        </w:rPr>
        <w:lastRenderedPageBreak/>
        <w:t>Ziv (2001) that estimate</w:t>
      </w:r>
      <w:r w:rsidR="005276C1" w:rsidRPr="00DB2000">
        <w:rPr>
          <w:rFonts w:ascii="Times New Roman" w:hAnsi="Times New Roman" w:cs="Times New Roman"/>
          <w:sz w:val="24"/>
          <w:szCs w:val="24"/>
        </w:rPr>
        <w:t>s</w:t>
      </w:r>
      <w:r w:rsidR="001C74F3" w:rsidRPr="00DB2000">
        <w:rPr>
          <w:rFonts w:ascii="Times New Roman" w:hAnsi="Times New Roman" w:cs="Times New Roman"/>
          <w:sz w:val="24"/>
          <w:szCs w:val="24"/>
        </w:rPr>
        <w:t xml:space="preserve"> a regression model that allows for asymmetric reactions to dividends increases and decreases and control</w:t>
      </w:r>
      <w:r w:rsidR="00952423" w:rsidRPr="00DB2000">
        <w:rPr>
          <w:rFonts w:ascii="Times New Roman" w:hAnsi="Times New Roman" w:cs="Times New Roman"/>
          <w:sz w:val="24"/>
          <w:szCs w:val="24"/>
        </w:rPr>
        <w:t>s</w:t>
      </w:r>
      <w:r w:rsidR="001C74F3" w:rsidRPr="00DB2000">
        <w:rPr>
          <w:rFonts w:ascii="Times New Roman" w:hAnsi="Times New Roman" w:cs="Times New Roman"/>
          <w:sz w:val="24"/>
          <w:szCs w:val="24"/>
        </w:rPr>
        <w:t xml:space="preserve"> for uniform mean reversion and momentum in earnings:</w:t>
      </w:r>
    </w:p>
    <w:p w:rsidR="00C251D6" w:rsidRPr="00DB2000" w:rsidRDefault="00C3307C" w:rsidP="00DB2000">
      <w:pPr>
        <w:spacing w:line="360" w:lineRule="auto"/>
        <w:jc w:val="both"/>
      </w:pPr>
      <m:oMathPara>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t-1</m:t>
                      </m:r>
                    </m:sub>
                  </m:sSub>
                </m:e>
              </m:d>
            </m:num>
            <m:den>
              <m:sSub>
                <m:sSubPr>
                  <m:ctrlPr>
                    <w:rPr>
                      <w:rFonts w:ascii="Cambria Math" w:hAnsi="Cambria Math"/>
                    </w:rPr>
                  </m:ctrlPr>
                </m:sSubPr>
                <m:e>
                  <m:r>
                    <w:rPr>
                      <w:rFonts w:ascii="Cambria Math" w:hAnsi="Cambria Math"/>
                    </w:rPr>
                    <m:t>B</m:t>
                  </m:r>
                </m:e>
                <m:sub>
                  <m:r>
                    <w:rPr>
                      <w:rFonts w:ascii="Cambria Math" w:hAnsi="Cambria Math"/>
                    </w:rPr>
                    <m:t>-1</m:t>
                  </m:r>
                </m:sub>
              </m:sSub>
            </m:den>
          </m:f>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1P</m:t>
              </m:r>
            </m:sub>
          </m:sSub>
          <m:sSub>
            <m:sSubPr>
              <m:ctrlPr>
                <w:rPr>
                  <w:rFonts w:ascii="Cambria Math" w:hAnsi="Cambria Math"/>
                  <w:i/>
                </w:rPr>
              </m:ctrlPr>
            </m:sSubPr>
            <m:e>
              <m:r>
                <w:rPr>
                  <w:rFonts w:ascii="Cambria Math" w:hAnsi="Cambria Math"/>
                </w:rPr>
                <m:t>DPC</m:t>
              </m:r>
            </m:e>
            <m:sub>
              <m:r>
                <w:rPr>
                  <w:rFonts w:ascii="Cambria Math" w:hAnsi="Cambria Math"/>
                </w:rPr>
                <m:t>0</m:t>
              </m:r>
            </m:sub>
          </m:sSub>
          <m:r>
            <w:rPr>
              <w:rFonts w:ascii="Cambria Math" w:hAnsi="Cambria Math"/>
            </w:rPr>
            <m:t>xR∆</m:t>
          </m:r>
          <m:sSub>
            <m:sSubPr>
              <m:ctrlPr>
                <w:rPr>
                  <w:rFonts w:ascii="Cambria Math" w:hAnsi="Cambria Math"/>
                  <w:i/>
                </w:rPr>
              </m:ctrlPr>
            </m:sSubPr>
            <m:e>
              <m:r>
                <w:rPr>
                  <w:rFonts w:ascii="Cambria Math" w:hAnsi="Cambria Math"/>
                </w:rPr>
                <m:t>DIV</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1N</m:t>
              </m:r>
            </m:sub>
          </m:sSub>
          <m:sSub>
            <m:sSubPr>
              <m:ctrlPr>
                <w:rPr>
                  <w:rFonts w:ascii="Cambria Math" w:hAnsi="Cambria Math"/>
                  <w:i/>
                </w:rPr>
              </m:ctrlPr>
            </m:sSubPr>
            <m:e>
              <m:r>
                <w:rPr>
                  <w:rFonts w:ascii="Cambria Math" w:hAnsi="Cambria Math"/>
                </w:rPr>
                <m:t>DNC</m:t>
              </m:r>
            </m:e>
            <m:sub>
              <m:r>
                <w:rPr>
                  <w:rFonts w:ascii="Cambria Math" w:hAnsi="Cambria Math"/>
                </w:rPr>
                <m:t>0</m:t>
              </m:r>
            </m:sub>
          </m:sSub>
          <m:r>
            <w:rPr>
              <w:rFonts w:ascii="Cambria Math" w:hAnsi="Cambria Math"/>
            </w:rPr>
            <m:t>x</m:t>
          </m:r>
          <m:r>
            <w:rPr>
              <w:rFonts w:ascii="Cambria Math" w:hAnsi="Cambria Math"/>
            </w:rPr>
            <m:t>R</m:t>
          </m:r>
          <m:r>
            <w:rPr>
              <w:rFonts w:ascii="Cambria Math" w:hAnsi="Cambria Math"/>
            </w:rPr>
            <m:t>∆</m:t>
          </m:r>
          <m:sSub>
            <m:sSubPr>
              <m:ctrlPr>
                <w:rPr>
                  <w:rFonts w:ascii="Cambria Math" w:hAnsi="Cambria Math"/>
                  <w:i/>
                </w:rPr>
              </m:ctrlPr>
            </m:sSubPr>
            <m:e>
              <m:r>
                <w:rPr>
                  <w:rFonts w:ascii="Cambria Math" w:hAnsi="Cambria Math"/>
                </w:rPr>
                <m:t>DIV</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sSub>
            <m:sSubPr>
              <m:ctrlPr>
                <w:rPr>
                  <w:rFonts w:ascii="Cambria Math" w:hAnsi="Cambria Math"/>
                </w:rPr>
              </m:ctrlPr>
            </m:sSubPr>
            <m:e>
              <m:r>
                <w:rPr>
                  <w:rFonts w:ascii="Cambria Math" w:hAnsi="Cambria Math"/>
                </w:rPr>
                <m:t>ROE</m:t>
              </m:r>
            </m:e>
            <m:sub>
              <m:r>
                <w:rPr>
                  <w:rFonts w:ascii="Cambria Math" w:hAnsi="Cambria Math"/>
                </w:rPr>
                <m:t>t-1</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3</m:t>
              </m:r>
            </m:sub>
          </m:sSub>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-1</m:t>
                      </m:r>
                    </m:sub>
                  </m:sSub>
                </m:e>
              </m:d>
            </m:num>
            <m:den>
              <m:sSub>
                <m:sSubPr>
                  <m:ctrlPr>
                    <w:rPr>
                      <w:rFonts w:ascii="Cambria Math" w:hAnsi="Cambria Math"/>
                    </w:rPr>
                  </m:ctrlPr>
                </m:sSubPr>
                <m:e>
                  <m:r>
                    <w:rPr>
                      <w:rFonts w:ascii="Cambria Math" w:hAnsi="Cambria Math"/>
                    </w:rPr>
                    <m:t>B</m:t>
                  </m:r>
                </m:e>
                <m:sub>
                  <m:r>
                    <w:rPr>
                      <w:rFonts w:ascii="Cambria Math" w:hAnsi="Cambria Math"/>
                    </w:rPr>
                    <m:t>-1</m:t>
                  </m:r>
                </m:sub>
              </m:sSub>
            </m:den>
          </m:f>
          <m: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t</m:t>
              </m:r>
            </m:sub>
          </m:sSub>
        </m:oMath>
      </m:oMathPara>
    </w:p>
    <w:p w:rsidR="00C251D6" w:rsidRPr="00DB2000" w:rsidRDefault="001C74F3"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 xml:space="preserve">Where </w:t>
      </w: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t</m:t>
            </m:r>
          </m:sub>
        </m:sSub>
      </m:oMath>
      <w:r w:rsidRPr="00DB2000">
        <w:rPr>
          <w:rFonts w:ascii="Times New Roman" w:hAnsi="Times New Roman" w:cs="Times New Roman"/>
          <w:sz w:val="24"/>
          <w:szCs w:val="24"/>
        </w:rPr>
        <w:t xml:space="preserve"> is EBIDTA in year  </w:t>
      </w:r>
      <m:oMath>
        <m:r>
          <w:rPr>
            <w:rFonts w:ascii="Cambria Math" w:hAnsi="Cambria Math"/>
            <w:sz w:val="24"/>
            <w:szCs w:val="24"/>
          </w:rPr>
          <m:t>t</m:t>
        </m:r>
      </m:oMath>
      <w:r w:rsidRPr="00DB2000">
        <w:rPr>
          <w:rFonts w:ascii="Times New Roman" w:hAnsi="Times New Roman" w:cs="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-1</m:t>
            </m:r>
          </m:sub>
        </m:sSub>
      </m:oMath>
      <w:r w:rsidRPr="00DB2000">
        <w:rPr>
          <w:rFonts w:ascii="Times New Roman" w:hAnsi="Times New Roman" w:cs="Times New Roman"/>
          <w:sz w:val="24"/>
          <w:szCs w:val="24"/>
        </w:rPr>
        <w:t xml:space="preserve"> is the book value of equity at the end of year -1, </w:t>
      </w:r>
      <m:oMath>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DIV</m:t>
            </m:r>
          </m:e>
          <m:sub>
            <m:r>
              <w:rPr>
                <w:rFonts w:ascii="Cambria Math" w:hAnsi="Cambria Math"/>
                <w:sz w:val="24"/>
                <w:szCs w:val="24"/>
              </w:rPr>
              <m:t>0</m:t>
            </m:r>
          </m:sub>
        </m:sSub>
      </m:oMath>
      <w:r w:rsidRPr="00DB2000">
        <w:rPr>
          <w:rFonts w:ascii="Times New Roman" w:hAnsi="Times New Roman" w:cs="Times New Roman"/>
          <w:sz w:val="24"/>
          <w:szCs w:val="24"/>
        </w:rPr>
        <w:t xml:space="preserve"> is the annual percentage change in the cash dividend payment in year 0, </w:t>
      </w:r>
      <m:oMath>
        <m:sSub>
          <m:sSubPr>
            <m:ctrlPr>
              <w:rPr>
                <w:rFonts w:ascii="Cambria Math" w:hAnsi="Cambria Math"/>
                <w:i/>
                <w:sz w:val="24"/>
                <w:szCs w:val="24"/>
              </w:rPr>
            </m:ctrlPr>
          </m:sSubPr>
          <m:e>
            <m:r>
              <w:rPr>
                <w:rFonts w:ascii="Cambria Math" w:hAnsi="Cambria Math"/>
                <w:sz w:val="24"/>
                <w:szCs w:val="24"/>
              </w:rPr>
              <m:t>DPC</m:t>
            </m:r>
          </m:e>
          <m:sub>
            <m:r>
              <w:rPr>
                <w:rFonts w:ascii="Cambria Math" w:hAnsi="Cambria Math"/>
                <w:sz w:val="24"/>
                <w:szCs w:val="24"/>
              </w:rPr>
              <m:t>0</m:t>
            </m:r>
          </m:sub>
        </m:sSub>
      </m:oMath>
      <w:r w:rsidRPr="00DB2000">
        <w:rPr>
          <w:rFonts w:ascii="Times New Roman" w:hAnsi="Times New Roman" w:cs="Times New Roman"/>
          <w:sz w:val="24"/>
          <w:szCs w:val="24"/>
        </w:rPr>
        <w:t xml:space="preserve"> is a dummy variable that takes the value of 1 for positive dividends changes and 0 otherwise, </w:t>
      </w:r>
      <m:oMath>
        <m:sSub>
          <m:sSubPr>
            <m:ctrlPr>
              <w:rPr>
                <w:rFonts w:ascii="Cambria Math" w:hAnsi="Cambria Math"/>
                <w:i/>
                <w:sz w:val="24"/>
                <w:szCs w:val="24"/>
              </w:rPr>
            </m:ctrlPr>
          </m:sSubPr>
          <m:e>
            <m:r>
              <w:rPr>
                <w:rFonts w:ascii="Cambria Math" w:hAnsi="Cambria Math"/>
                <w:sz w:val="24"/>
                <w:szCs w:val="24"/>
              </w:rPr>
              <m:t>DNC</m:t>
            </m:r>
          </m:e>
          <m:sub>
            <m:r>
              <w:rPr>
                <w:rFonts w:ascii="Cambria Math" w:hAnsi="Cambria Math"/>
                <w:sz w:val="24"/>
                <w:szCs w:val="24"/>
              </w:rPr>
              <m:t>0</m:t>
            </m:r>
          </m:sub>
        </m:sSub>
      </m:oMath>
      <w:r w:rsidR="00905B74" w:rsidRPr="00DB2000">
        <w:rPr>
          <w:rFonts w:ascii="Times New Roman" w:hAnsi="Times New Roman" w:cs="Times New Roman"/>
          <w:sz w:val="24"/>
          <w:szCs w:val="24"/>
        </w:rPr>
        <w:t xml:space="preserve"> </w:t>
      </w:r>
      <w:r w:rsidRPr="00DB2000">
        <w:rPr>
          <w:rFonts w:ascii="Times New Roman" w:hAnsi="Times New Roman" w:cs="Times New Roman"/>
          <w:sz w:val="24"/>
          <w:szCs w:val="24"/>
        </w:rPr>
        <w:t xml:space="preserve">is a dummy variable that takes the value of 1 for negative dividends changes and 0 otherwise, and </w:t>
      </w:r>
      <m:oMath>
        <m:sSub>
          <m:sSubPr>
            <m:ctrlPr>
              <w:rPr>
                <w:rFonts w:ascii="Cambria Math" w:hAnsi="Cambria Math"/>
                <w:sz w:val="24"/>
                <w:szCs w:val="24"/>
              </w:rPr>
            </m:ctrlPr>
          </m:sSubPr>
          <m:e>
            <m:r>
              <w:rPr>
                <w:rFonts w:ascii="Cambria Math" w:hAnsi="Cambria Math"/>
                <w:sz w:val="24"/>
                <w:szCs w:val="24"/>
              </w:rPr>
              <m:t>ROE</m:t>
            </m:r>
          </m:e>
          <m:sub>
            <m:r>
              <w:rPr>
                <w:rFonts w:ascii="Cambria Math" w:hAnsi="Cambria Math"/>
                <w:sz w:val="24"/>
                <w:szCs w:val="24"/>
              </w:rPr>
              <m:t>t-1</m:t>
            </m:r>
          </m:sub>
        </m:sSub>
      </m:oMath>
      <w:r w:rsidRPr="00DB2000">
        <w:rPr>
          <w:rFonts w:ascii="Times New Roman" w:hAnsi="Times New Roman" w:cs="Times New Roman"/>
          <w:sz w:val="24"/>
          <w:szCs w:val="24"/>
        </w:rPr>
        <w:t xml:space="preserve"> is equal to EBIDTA in year </w:t>
      </w:r>
      <m:oMath>
        <m:r>
          <w:rPr>
            <w:rFonts w:ascii="Cambria Math" w:hAnsi="Cambria Math"/>
            <w:sz w:val="24"/>
            <w:szCs w:val="24"/>
          </w:rPr>
          <m:t>t-1</m:t>
        </m:r>
      </m:oMath>
      <w:r w:rsidRPr="00DB2000">
        <w:rPr>
          <w:rFonts w:ascii="Times New Roman" w:hAnsi="Times New Roman" w:cs="Times New Roman"/>
          <w:sz w:val="24"/>
          <w:szCs w:val="24"/>
        </w:rPr>
        <w:t xml:space="preserve"> scaled by the book value of equity at the end of year </w:t>
      </w:r>
      <m:oMath>
        <m:r>
          <w:rPr>
            <w:rFonts w:ascii="Cambria Math" w:hAnsi="Cambria Math"/>
            <w:sz w:val="24"/>
            <w:szCs w:val="24"/>
          </w:rPr>
          <m:t>t-1</m:t>
        </m:r>
      </m:oMath>
      <w:r w:rsidRPr="00DB2000">
        <w:rPr>
          <w:rFonts w:ascii="Times New Roman" w:hAnsi="Times New Roman" w:cs="Times New Roman"/>
          <w:sz w:val="24"/>
          <w:szCs w:val="24"/>
        </w:rPr>
        <w:t>, and the last term is the initial difference in EBIDTA scaled by the book value of equity. This equation considers that the relations</w:t>
      </w:r>
      <w:r w:rsidR="007078A0" w:rsidRPr="00DB2000">
        <w:rPr>
          <w:rFonts w:ascii="Times New Roman" w:hAnsi="Times New Roman" w:cs="Times New Roman"/>
          <w:sz w:val="24"/>
          <w:szCs w:val="24"/>
        </w:rPr>
        <w:t>hip</w:t>
      </w:r>
      <w:r w:rsidRPr="00DB2000">
        <w:rPr>
          <w:rFonts w:ascii="Times New Roman" w:hAnsi="Times New Roman" w:cs="Times New Roman"/>
          <w:sz w:val="24"/>
          <w:szCs w:val="24"/>
        </w:rPr>
        <w:t xml:space="preserve"> among</w:t>
      </w:r>
      <w:r w:rsidR="00F20054" w:rsidRPr="00DB2000">
        <w:rPr>
          <w:rFonts w:ascii="Times New Roman" w:hAnsi="Times New Roman" w:cs="Times New Roman"/>
          <w:sz w:val="24"/>
          <w:szCs w:val="24"/>
        </w:rPr>
        <w:t xml:space="preserve"> the</w:t>
      </w:r>
      <w:r w:rsidRPr="00DB2000">
        <w:rPr>
          <w:rFonts w:ascii="Times New Roman" w:hAnsi="Times New Roman" w:cs="Times New Roman"/>
          <w:sz w:val="24"/>
          <w:szCs w:val="24"/>
        </w:rPr>
        <w:t xml:space="preserve"> variables </w:t>
      </w:r>
      <w:r w:rsidR="00F20054" w:rsidRPr="00DB2000">
        <w:rPr>
          <w:rFonts w:ascii="Times New Roman" w:hAnsi="Times New Roman" w:cs="Times New Roman"/>
          <w:sz w:val="24"/>
          <w:szCs w:val="24"/>
        </w:rPr>
        <w:t>described as</w:t>
      </w:r>
      <w:r w:rsidRPr="00DB2000">
        <w:rPr>
          <w:rFonts w:ascii="Times New Roman" w:hAnsi="Times New Roman" w:cs="Times New Roman"/>
          <w:sz w:val="24"/>
          <w:szCs w:val="24"/>
        </w:rPr>
        <w:t xml:space="preserve"> linear. </w:t>
      </w:r>
      <w:r w:rsidR="00F20054" w:rsidRPr="00DB2000">
        <w:rPr>
          <w:rFonts w:ascii="Times New Roman" w:hAnsi="Times New Roman" w:cs="Times New Roman"/>
          <w:sz w:val="24"/>
          <w:szCs w:val="24"/>
        </w:rPr>
        <w:t xml:space="preserve"> O</w:t>
      </w:r>
      <w:r w:rsidRPr="00DB2000">
        <w:rPr>
          <w:rFonts w:ascii="Times New Roman" w:hAnsi="Times New Roman" w:cs="Times New Roman"/>
          <w:sz w:val="24"/>
          <w:szCs w:val="24"/>
        </w:rPr>
        <w:t xml:space="preserve">ne issue </w:t>
      </w:r>
      <w:r w:rsidR="00F20054" w:rsidRPr="00DB2000">
        <w:rPr>
          <w:rFonts w:ascii="Times New Roman" w:hAnsi="Times New Roman" w:cs="Times New Roman"/>
          <w:sz w:val="24"/>
          <w:szCs w:val="24"/>
        </w:rPr>
        <w:t>according to</w:t>
      </w:r>
      <w:r w:rsidRPr="00DB2000">
        <w:rPr>
          <w:rFonts w:ascii="Times New Roman" w:hAnsi="Times New Roman" w:cs="Times New Roman"/>
          <w:sz w:val="24"/>
          <w:szCs w:val="24"/>
        </w:rPr>
        <w:t xml:space="preserve"> Nissim and Ziv (2001) is to consider </w:t>
      </w:r>
      <w:r w:rsidR="00F20054" w:rsidRPr="00DB2000">
        <w:rPr>
          <w:rFonts w:ascii="Times New Roman" w:hAnsi="Times New Roman" w:cs="Times New Roman"/>
          <w:sz w:val="24"/>
          <w:szCs w:val="24"/>
        </w:rPr>
        <w:t xml:space="preserve">that </w:t>
      </w:r>
      <w:r w:rsidRPr="00DB2000">
        <w:rPr>
          <w:rFonts w:ascii="Times New Roman" w:hAnsi="Times New Roman" w:cs="Times New Roman"/>
          <w:sz w:val="24"/>
          <w:szCs w:val="24"/>
        </w:rPr>
        <w:t>the mean reve</w:t>
      </w:r>
      <w:r w:rsidR="00596054" w:rsidRPr="00DB2000">
        <w:rPr>
          <w:rFonts w:ascii="Times New Roman" w:hAnsi="Times New Roman" w:cs="Times New Roman"/>
          <w:sz w:val="24"/>
          <w:szCs w:val="24"/>
        </w:rPr>
        <w:t>rsion has a linear relationship.  A</w:t>
      </w:r>
      <w:r w:rsidRPr="00DB2000">
        <w:rPr>
          <w:rFonts w:ascii="Times New Roman" w:hAnsi="Times New Roman" w:cs="Times New Roman"/>
          <w:sz w:val="24"/>
          <w:szCs w:val="24"/>
        </w:rPr>
        <w:t>s Grullon, Michaely, Benartzi, and Thaler (2005) demonstrate</w:t>
      </w:r>
      <w:r w:rsidR="00596054" w:rsidRPr="00DB2000">
        <w:rPr>
          <w:rFonts w:ascii="Times New Roman" w:hAnsi="Times New Roman" w:cs="Times New Roman"/>
          <w:sz w:val="24"/>
          <w:szCs w:val="24"/>
        </w:rPr>
        <w:t>,</w:t>
      </w:r>
      <w:r w:rsidRPr="00DB2000">
        <w:rPr>
          <w:rFonts w:ascii="Times New Roman" w:hAnsi="Times New Roman" w:cs="Times New Roman"/>
          <w:sz w:val="24"/>
          <w:szCs w:val="24"/>
        </w:rPr>
        <w:t xml:space="preserve"> the factor that measures the mean reversion is not linear; </w:t>
      </w:r>
      <w:r w:rsidR="00596054" w:rsidRPr="00DB2000">
        <w:rPr>
          <w:rFonts w:ascii="Times New Roman" w:hAnsi="Times New Roman" w:cs="Times New Roman"/>
          <w:sz w:val="24"/>
          <w:szCs w:val="24"/>
        </w:rPr>
        <w:t xml:space="preserve">questioning </w:t>
      </w:r>
      <w:r w:rsidRPr="00DB2000">
        <w:rPr>
          <w:rFonts w:ascii="Times New Roman" w:hAnsi="Times New Roman" w:cs="Times New Roman"/>
          <w:sz w:val="24"/>
          <w:szCs w:val="24"/>
        </w:rPr>
        <w:t>the validity of the</w:t>
      </w:r>
      <w:r w:rsidR="00596054" w:rsidRPr="00DB2000">
        <w:rPr>
          <w:rFonts w:ascii="Times New Roman" w:hAnsi="Times New Roman" w:cs="Times New Roman"/>
          <w:sz w:val="24"/>
          <w:szCs w:val="24"/>
        </w:rPr>
        <w:t xml:space="preserve"> or</w:t>
      </w:r>
      <w:r w:rsidR="0092189A" w:rsidRPr="00DB2000">
        <w:rPr>
          <w:rFonts w:ascii="Times New Roman" w:hAnsi="Times New Roman" w:cs="Times New Roman"/>
          <w:sz w:val="24"/>
          <w:szCs w:val="24"/>
        </w:rPr>
        <w:t>i</w:t>
      </w:r>
      <w:r w:rsidR="00596054" w:rsidRPr="00DB2000">
        <w:rPr>
          <w:rFonts w:ascii="Times New Roman" w:hAnsi="Times New Roman" w:cs="Times New Roman"/>
          <w:sz w:val="24"/>
          <w:szCs w:val="24"/>
        </w:rPr>
        <w:t>ginal model</w:t>
      </w:r>
      <w:r w:rsidRPr="00DB2000">
        <w:rPr>
          <w:rFonts w:ascii="Times New Roman" w:hAnsi="Times New Roman" w:cs="Times New Roman"/>
          <w:sz w:val="24"/>
          <w:szCs w:val="24"/>
        </w:rPr>
        <w:t>. Nevertheless our first approximation for determining the relationship between future earnings variation and dividend variation is analyzed with this model.</w:t>
      </w:r>
    </w:p>
    <w:p w:rsidR="00C251D6" w:rsidRPr="00DB2000" w:rsidRDefault="00BC33E4"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ab/>
      </w:r>
      <w:r w:rsidR="001C74F3" w:rsidRPr="00DB2000">
        <w:rPr>
          <w:rFonts w:ascii="Times New Roman" w:hAnsi="Times New Roman" w:cs="Times New Roman"/>
          <w:sz w:val="24"/>
          <w:szCs w:val="24"/>
        </w:rPr>
        <w:t>We work with a panel data</w:t>
      </w:r>
      <w:r w:rsidRPr="00DB2000">
        <w:rPr>
          <w:rFonts w:ascii="Times New Roman" w:hAnsi="Times New Roman" w:cs="Times New Roman"/>
          <w:sz w:val="24"/>
          <w:szCs w:val="24"/>
        </w:rPr>
        <w:t xml:space="preserve"> set</w:t>
      </w:r>
      <w:r w:rsidR="001C74F3" w:rsidRPr="00DB2000">
        <w:rPr>
          <w:rFonts w:ascii="Times New Roman" w:hAnsi="Times New Roman" w:cs="Times New Roman"/>
          <w:sz w:val="24"/>
          <w:szCs w:val="24"/>
        </w:rPr>
        <w:t>, namely the data is grouped by firms through years from 2002 to 2013, the methodology used is the Fama-MacBeth (1973) regression model. This consists of a cross-sectional regression coefficient for each year using all the observations in that year. The results of th</w:t>
      </w:r>
      <w:r w:rsidR="000D0542" w:rsidRPr="00DB2000">
        <w:rPr>
          <w:rFonts w:ascii="Times New Roman" w:hAnsi="Times New Roman" w:cs="Times New Roman"/>
          <w:sz w:val="24"/>
          <w:szCs w:val="24"/>
        </w:rPr>
        <w:t>e regression are shown in the T</w:t>
      </w:r>
      <w:r w:rsidR="001C74F3" w:rsidRPr="00DB2000">
        <w:rPr>
          <w:rFonts w:ascii="Times New Roman" w:hAnsi="Times New Roman" w:cs="Times New Roman"/>
          <w:sz w:val="24"/>
          <w:szCs w:val="24"/>
        </w:rPr>
        <w:t>able III.</w:t>
      </w:r>
    </w:p>
    <w:p w:rsidR="00C251D6" w:rsidRPr="00DB2000" w:rsidRDefault="00C251D6" w:rsidP="00DB2000">
      <w:pPr>
        <w:spacing w:line="360" w:lineRule="auto"/>
        <w:jc w:val="both"/>
        <w:rPr>
          <w:rFonts w:ascii="Times New Roman" w:hAnsi="Times New Roman" w:cs="Times New Roman"/>
          <w:sz w:val="24"/>
          <w:szCs w:val="24"/>
        </w:rPr>
      </w:pPr>
    </w:p>
    <w:p w:rsidR="00C251D6" w:rsidRPr="00DB2000" w:rsidRDefault="00C251D6" w:rsidP="00DB2000">
      <w:pPr>
        <w:spacing w:line="360" w:lineRule="auto"/>
        <w:jc w:val="both"/>
        <w:rPr>
          <w:rFonts w:ascii="Times New Roman" w:hAnsi="Times New Roman" w:cs="Times New Roman"/>
          <w:sz w:val="24"/>
          <w:szCs w:val="24"/>
        </w:rPr>
      </w:pPr>
    </w:p>
    <w:p w:rsidR="00C251D6" w:rsidRPr="00DB2000" w:rsidRDefault="00C251D6" w:rsidP="00DB2000">
      <w:pPr>
        <w:spacing w:line="360" w:lineRule="auto"/>
        <w:jc w:val="both"/>
        <w:rPr>
          <w:rFonts w:ascii="Times New Roman" w:hAnsi="Times New Roman" w:cs="Times New Roman"/>
          <w:sz w:val="24"/>
          <w:szCs w:val="24"/>
        </w:rPr>
      </w:pPr>
    </w:p>
    <w:p w:rsidR="00DB2000" w:rsidRDefault="00DB2000">
      <w:pPr>
        <w:suppressAutoHyphens w:val="0"/>
        <w:spacing w:after="0"/>
        <w:rPr>
          <w:rFonts w:ascii="Times New Roman" w:hAnsi="Times New Roman" w:cs="Times New Roman"/>
          <w:sz w:val="24"/>
          <w:szCs w:val="24"/>
        </w:rPr>
      </w:pPr>
      <w:r>
        <w:rPr>
          <w:rFonts w:ascii="Times New Roman" w:hAnsi="Times New Roman" w:cs="Times New Roman"/>
          <w:sz w:val="24"/>
          <w:szCs w:val="24"/>
        </w:rPr>
        <w:br w:type="page"/>
      </w:r>
    </w:p>
    <w:p w:rsidR="00C251D6" w:rsidRPr="00DB2000" w:rsidRDefault="00C251D6" w:rsidP="00DB2000">
      <w:pPr>
        <w:spacing w:line="360" w:lineRule="auto"/>
        <w:jc w:val="both"/>
        <w:rPr>
          <w:rFonts w:ascii="Times New Roman" w:hAnsi="Times New Roman" w:cs="Times New Roman"/>
          <w:sz w:val="24"/>
          <w:szCs w:val="24"/>
        </w:rPr>
      </w:pPr>
    </w:p>
    <w:p w:rsidR="00C251D6" w:rsidRDefault="001C74F3">
      <w:pPr>
        <w:jc w:val="center"/>
        <w:rPr>
          <w:rFonts w:ascii="Times New Roman" w:hAnsi="Times New Roman" w:cs="Times New Roman"/>
        </w:rPr>
      </w:pPr>
      <w:r>
        <w:rPr>
          <w:rFonts w:ascii="Times New Roman" w:hAnsi="Times New Roman" w:cs="Times New Roman"/>
        </w:rPr>
        <w:t>Table III</w:t>
      </w:r>
    </w:p>
    <w:p w:rsidR="00C251D6" w:rsidRDefault="001C74F3">
      <w:pPr>
        <w:jc w:val="center"/>
        <w:rPr>
          <w:rFonts w:ascii="Times New Roman" w:hAnsi="Times New Roman" w:cs="Times New Roman"/>
          <w:b/>
        </w:rPr>
      </w:pPr>
      <w:r>
        <w:rPr>
          <w:rFonts w:ascii="Times New Roman" w:hAnsi="Times New Roman" w:cs="Times New Roman"/>
          <w:b/>
        </w:rPr>
        <w:t>Annual Cross-sectional regression Coefficients of Dividends Changes</w:t>
      </w:r>
    </w:p>
    <w:p w:rsidR="00C251D6" w:rsidRPr="007571ED" w:rsidRDefault="001C74F3">
      <w:pPr>
        <w:jc w:val="both"/>
        <w:rPr>
          <w:rFonts w:ascii="Times New Roman" w:hAnsi="Times New Roman" w:cs="Times New Roman"/>
          <w:sz w:val="20"/>
          <w:szCs w:val="20"/>
        </w:rPr>
      </w:pPr>
      <w:r w:rsidRPr="007571ED">
        <w:rPr>
          <w:rFonts w:ascii="Times New Roman" w:hAnsi="Times New Roman" w:cs="Times New Roman"/>
          <w:sz w:val="20"/>
          <w:szCs w:val="20"/>
        </w:rPr>
        <w:t xml:space="preserve">This table shows the Cross-sectional coefficients grouped by year of the mining span from 2002 to 2013. According to the Fama-MacBeth (1973) procedure.  Where </w:t>
      </w:r>
      <m:oMath>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t</m:t>
            </m:r>
          </m:sub>
        </m:sSub>
      </m:oMath>
      <w:r w:rsidRPr="007571ED">
        <w:rPr>
          <w:rFonts w:ascii="Times New Roman" w:hAnsi="Times New Roman" w:cs="Times New Roman"/>
          <w:sz w:val="20"/>
          <w:szCs w:val="20"/>
        </w:rPr>
        <w:t xml:space="preserve"> is EBIDTA in year  </w:t>
      </w:r>
      <m:oMath>
        <m:r>
          <w:rPr>
            <w:rFonts w:ascii="Cambria Math" w:hAnsi="Cambria Math"/>
            <w:sz w:val="20"/>
            <w:szCs w:val="20"/>
          </w:rPr>
          <m:t>t</m:t>
        </m:r>
      </m:oMath>
      <w:r w:rsidRPr="007571ED">
        <w:rPr>
          <w:rFonts w:ascii="Times New Roman" w:hAnsi="Times New Roman" w:cs="Times New Roman"/>
          <w:sz w:val="20"/>
          <w:szCs w:val="20"/>
        </w:rPr>
        <w:t xml:space="preserve">, </w:t>
      </w:r>
      <m:oMath>
        <m:sSub>
          <m:sSubPr>
            <m:ctrlPr>
              <w:rPr>
                <w:rFonts w:ascii="Cambria Math" w:hAnsi="Cambria Math"/>
                <w:sz w:val="20"/>
                <w:szCs w:val="20"/>
              </w:rPr>
            </m:ctrlPr>
          </m:sSubPr>
          <m:e>
            <m:r>
              <w:rPr>
                <w:rFonts w:ascii="Cambria Math" w:hAnsi="Cambria Math"/>
                <w:sz w:val="20"/>
                <w:szCs w:val="20"/>
              </w:rPr>
              <m:t>B</m:t>
            </m:r>
          </m:e>
          <m:sub>
            <m:r>
              <w:rPr>
                <w:rFonts w:ascii="Cambria Math" w:hAnsi="Cambria Math"/>
                <w:sz w:val="20"/>
                <w:szCs w:val="20"/>
              </w:rPr>
              <m:t>-1</m:t>
            </m:r>
          </m:sub>
        </m:sSub>
      </m:oMath>
      <w:r w:rsidRPr="007571ED">
        <w:rPr>
          <w:rFonts w:ascii="Times New Roman" w:hAnsi="Times New Roman" w:cs="Times New Roman"/>
          <w:sz w:val="20"/>
          <w:szCs w:val="20"/>
        </w:rPr>
        <w:t xml:space="preserve"> is the book value of equity at the end of year -1, </w:t>
      </w:r>
      <m:oMath>
        <m:r>
          <w:rPr>
            <w:rFonts w:ascii="Cambria Math" w:hAnsi="Cambria Math"/>
          </w:rPr>
          <m:t>R∆</m:t>
        </m:r>
        <m:sSub>
          <m:sSubPr>
            <m:ctrlPr>
              <w:rPr>
                <w:rFonts w:ascii="Cambria Math" w:hAnsi="Cambria Math"/>
                <w:i/>
              </w:rPr>
            </m:ctrlPr>
          </m:sSubPr>
          <m:e>
            <m:r>
              <w:rPr>
                <w:rFonts w:ascii="Cambria Math" w:hAnsi="Cambria Math"/>
              </w:rPr>
              <m:t>DIV</m:t>
            </m:r>
          </m:e>
          <m:sub>
            <m:r>
              <w:rPr>
                <w:rFonts w:ascii="Cambria Math" w:hAnsi="Cambria Math"/>
              </w:rPr>
              <m:t>0</m:t>
            </m:r>
          </m:sub>
        </m:sSub>
      </m:oMath>
      <w:r w:rsidRPr="007571ED">
        <w:rPr>
          <w:rFonts w:ascii="Times New Roman" w:hAnsi="Times New Roman" w:cs="Times New Roman"/>
          <w:sz w:val="20"/>
          <w:szCs w:val="20"/>
        </w:rPr>
        <w:t xml:space="preserve"> is the annual percentage change in the cash dividend payment in year 0, </w:t>
      </w:r>
      <m:oMath>
        <m:sSub>
          <m:sSubPr>
            <m:ctrlPr>
              <w:rPr>
                <w:rFonts w:ascii="Cambria Math" w:hAnsi="Cambria Math"/>
                <w:i/>
              </w:rPr>
            </m:ctrlPr>
          </m:sSubPr>
          <m:e>
            <m:r>
              <w:rPr>
                <w:rFonts w:ascii="Cambria Math" w:hAnsi="Cambria Math"/>
              </w:rPr>
              <m:t>DPC</m:t>
            </m:r>
          </m:e>
          <m:sub>
            <m:r>
              <w:rPr>
                <w:rFonts w:ascii="Cambria Math" w:hAnsi="Cambria Math"/>
              </w:rPr>
              <m:t>0</m:t>
            </m:r>
          </m:sub>
        </m:sSub>
      </m:oMath>
      <w:r w:rsidRPr="007571ED">
        <w:rPr>
          <w:rFonts w:ascii="Times New Roman" w:hAnsi="Times New Roman" w:cs="Times New Roman"/>
          <w:sz w:val="20"/>
          <w:szCs w:val="20"/>
        </w:rPr>
        <w:t xml:space="preserve"> is a dummy variable that takes the value of 1 for positive dividends changes and 0 otherwise, </w:t>
      </w:r>
      <m:oMath>
        <m:sSub>
          <m:sSubPr>
            <m:ctrlPr>
              <w:rPr>
                <w:rFonts w:ascii="Cambria Math" w:hAnsi="Cambria Math"/>
                <w:i/>
              </w:rPr>
            </m:ctrlPr>
          </m:sSubPr>
          <m:e>
            <m:r>
              <w:rPr>
                <w:rFonts w:ascii="Cambria Math" w:hAnsi="Cambria Math"/>
              </w:rPr>
              <m:t>DNC</m:t>
            </m:r>
          </m:e>
          <m:sub>
            <m:r>
              <w:rPr>
                <w:rFonts w:ascii="Cambria Math" w:hAnsi="Cambria Math"/>
              </w:rPr>
              <m:t>0</m:t>
            </m:r>
          </m:sub>
        </m:sSub>
      </m:oMath>
      <w:r w:rsidRPr="007571ED">
        <w:rPr>
          <w:rFonts w:ascii="Times New Roman" w:hAnsi="Times New Roman" w:cs="Times New Roman"/>
          <w:sz w:val="20"/>
          <w:szCs w:val="20"/>
        </w:rPr>
        <w:t xml:space="preserve"> is a dummy variable that takes the value of 1 for negative dividends changes and 0 otherwise, and </w:t>
      </w:r>
      <m:oMath>
        <m:sSub>
          <m:sSubPr>
            <m:ctrlPr>
              <w:rPr>
                <w:rFonts w:ascii="Cambria Math" w:hAnsi="Cambria Math"/>
                <w:sz w:val="20"/>
                <w:szCs w:val="20"/>
              </w:rPr>
            </m:ctrlPr>
          </m:sSubPr>
          <m:e>
            <m:r>
              <w:rPr>
                <w:rFonts w:ascii="Cambria Math" w:hAnsi="Cambria Math"/>
                <w:sz w:val="20"/>
                <w:szCs w:val="20"/>
              </w:rPr>
              <m:t>ROE</m:t>
            </m:r>
          </m:e>
          <m:sub>
            <m:r>
              <w:rPr>
                <w:rFonts w:ascii="Cambria Math" w:hAnsi="Cambria Math"/>
                <w:sz w:val="20"/>
                <w:szCs w:val="20"/>
              </w:rPr>
              <m:t>t-1</m:t>
            </m:r>
          </m:sub>
        </m:sSub>
      </m:oMath>
      <w:r w:rsidRPr="007571ED">
        <w:rPr>
          <w:rFonts w:ascii="Times New Roman" w:hAnsi="Times New Roman" w:cs="Times New Roman"/>
          <w:sz w:val="20"/>
          <w:szCs w:val="20"/>
        </w:rPr>
        <w:t xml:space="preserve"> is equal to EBIDTA in year </w:t>
      </w:r>
      <m:oMath>
        <m:r>
          <w:rPr>
            <w:rFonts w:ascii="Cambria Math" w:hAnsi="Cambria Math"/>
            <w:sz w:val="20"/>
            <w:szCs w:val="20"/>
          </w:rPr>
          <m:t>t-1</m:t>
        </m:r>
      </m:oMath>
      <w:r w:rsidRPr="007571ED">
        <w:rPr>
          <w:rFonts w:ascii="Times New Roman" w:hAnsi="Times New Roman" w:cs="Times New Roman"/>
          <w:sz w:val="20"/>
          <w:szCs w:val="20"/>
        </w:rPr>
        <w:t xml:space="preserve"> scaled by the book value of equity at the end of year </w:t>
      </w:r>
      <m:oMath>
        <m:r>
          <w:rPr>
            <w:rFonts w:ascii="Cambria Math" w:hAnsi="Cambria Math"/>
            <w:sz w:val="20"/>
            <w:szCs w:val="20"/>
          </w:rPr>
          <m:t>t-1</m:t>
        </m:r>
      </m:oMath>
      <w:r w:rsidRPr="007571ED">
        <w:rPr>
          <w:rFonts w:ascii="Times New Roman" w:hAnsi="Times New Roman" w:cs="Times New Roman"/>
          <w:sz w:val="20"/>
          <w:szCs w:val="20"/>
        </w:rPr>
        <w:t xml:space="preserve">, and the last term is the initial difference in EBIDTA, scaled by the book value of equity. </w:t>
      </w:r>
      <m:oMath>
        <m:f>
          <m:fPr>
            <m:ctrlPr>
              <w:rPr>
                <w:rFonts w:ascii="Cambria Math" w:hAnsi="Cambria Math"/>
                <w:sz w:val="20"/>
                <w:szCs w:val="20"/>
              </w:rPr>
            </m:ctrlPr>
          </m:fPr>
          <m:num>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t-1</m:t>
                    </m:r>
                  </m:sub>
                </m:sSub>
              </m:e>
            </m:d>
          </m:num>
          <m:den>
            <m:sSub>
              <m:sSubPr>
                <m:ctrlPr>
                  <w:rPr>
                    <w:rFonts w:ascii="Cambria Math" w:hAnsi="Cambria Math"/>
                    <w:sz w:val="20"/>
                    <w:szCs w:val="20"/>
                  </w:rPr>
                </m:ctrlPr>
              </m:sSubPr>
              <m:e>
                <m:r>
                  <w:rPr>
                    <w:rFonts w:ascii="Cambria Math" w:hAnsi="Cambria Math"/>
                    <w:sz w:val="20"/>
                    <w:szCs w:val="20"/>
                  </w:rPr>
                  <m:t>B</m:t>
                </m:r>
              </m:e>
              <m:sub>
                <m:r>
                  <w:rPr>
                    <w:rFonts w:ascii="Cambria Math" w:hAnsi="Cambria Math"/>
                    <w:sz w:val="20"/>
                    <w:szCs w:val="20"/>
                  </w:rPr>
                  <m:t>-1</m:t>
                </m:r>
              </m:sub>
            </m:sSub>
          </m:den>
        </m:f>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1P</m:t>
            </m:r>
          </m:sub>
        </m:sSub>
        <m:sSub>
          <m:sSubPr>
            <m:ctrlPr>
              <w:rPr>
                <w:rFonts w:ascii="Cambria Math" w:hAnsi="Cambria Math"/>
                <w:i/>
              </w:rPr>
            </m:ctrlPr>
          </m:sSubPr>
          <m:e>
            <m:r>
              <w:rPr>
                <w:rFonts w:ascii="Cambria Math" w:hAnsi="Cambria Math"/>
              </w:rPr>
              <m:t>DPC</m:t>
            </m:r>
          </m:e>
          <m:sub>
            <m:r>
              <w:rPr>
                <w:rFonts w:ascii="Cambria Math" w:hAnsi="Cambria Math"/>
              </w:rPr>
              <m:t>0</m:t>
            </m:r>
          </m:sub>
        </m:sSub>
        <m:r>
          <w:rPr>
            <w:rFonts w:ascii="Cambria Math" w:hAnsi="Cambria Math"/>
            <w:sz w:val="20"/>
            <w:szCs w:val="20"/>
          </w:rPr>
          <m:t>x</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DIV</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1N</m:t>
            </m:r>
          </m:sub>
        </m:sSub>
        <m:sSub>
          <m:sSubPr>
            <m:ctrlPr>
              <w:rPr>
                <w:rFonts w:ascii="Cambria Math" w:hAnsi="Cambria Math"/>
                <w:i/>
              </w:rPr>
            </m:ctrlPr>
          </m:sSubPr>
          <m:e>
            <m:r>
              <w:rPr>
                <w:rFonts w:ascii="Cambria Math" w:hAnsi="Cambria Math"/>
              </w:rPr>
              <m:t>DNC</m:t>
            </m:r>
          </m:e>
          <m:sub>
            <m:r>
              <w:rPr>
                <w:rFonts w:ascii="Cambria Math" w:hAnsi="Cambria Math"/>
              </w:rPr>
              <m:t>0</m:t>
            </m:r>
          </m:sub>
        </m:sSub>
        <m:r>
          <w:rPr>
            <w:rFonts w:ascii="Cambria Math" w:hAnsi="Cambria Math"/>
            <w:sz w:val="20"/>
            <w:szCs w:val="20"/>
          </w:rPr>
          <m:t>x</m:t>
        </m:r>
        <m:r>
          <w:rPr>
            <w:rFonts w:ascii="Cambria Math" w:hAnsi="Cambria Math"/>
            <w:sz w:val="20"/>
            <w:szCs w:val="20"/>
          </w:rPr>
          <m:t>R∆</m:t>
        </m:r>
        <m:sSub>
          <m:sSubPr>
            <m:ctrlPr>
              <w:rPr>
                <w:rFonts w:ascii="Cambria Math" w:hAnsi="Cambria Math"/>
                <w:i/>
                <w:sz w:val="20"/>
                <w:szCs w:val="20"/>
              </w:rPr>
            </m:ctrlPr>
          </m:sSubPr>
          <m:e>
            <m:r>
              <w:rPr>
                <w:rFonts w:ascii="Cambria Math" w:hAnsi="Cambria Math"/>
                <w:sz w:val="20"/>
                <w:szCs w:val="20"/>
              </w:rPr>
              <m:t>DIV</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sz w:val="20"/>
                <w:szCs w:val="20"/>
              </w:rPr>
            </m:ctrlPr>
          </m:sSubPr>
          <m:e>
            <m:r>
              <w:rPr>
                <w:rFonts w:ascii="Cambria Math" w:hAnsi="Cambria Math"/>
                <w:sz w:val="20"/>
                <w:szCs w:val="20"/>
              </w:rPr>
              <m:t>ROE</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3</m:t>
            </m:r>
          </m:sub>
        </m:sSub>
        <m:f>
          <m:fPr>
            <m:ctrlPr>
              <w:rPr>
                <w:rFonts w:ascii="Cambria Math" w:hAnsi="Cambria Math"/>
                <w:sz w:val="20"/>
                <w:szCs w:val="20"/>
              </w:rPr>
            </m:ctrlPr>
          </m:fPr>
          <m:num>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-1</m:t>
                    </m:r>
                  </m:sub>
                </m:sSub>
              </m:e>
            </m:d>
          </m:num>
          <m:den>
            <m:sSub>
              <m:sSubPr>
                <m:ctrlPr>
                  <w:rPr>
                    <w:rFonts w:ascii="Cambria Math" w:hAnsi="Cambria Math"/>
                    <w:sz w:val="20"/>
                    <w:szCs w:val="20"/>
                  </w:rPr>
                </m:ctrlPr>
              </m:sSubPr>
              <m:e>
                <m:r>
                  <w:rPr>
                    <w:rFonts w:ascii="Cambria Math" w:hAnsi="Cambria Math"/>
                    <w:sz w:val="20"/>
                    <w:szCs w:val="20"/>
                  </w:rPr>
                  <m:t>B</m:t>
                </m:r>
              </m:e>
              <m:sub>
                <m:r>
                  <w:rPr>
                    <w:rFonts w:ascii="Cambria Math" w:hAnsi="Cambria Math"/>
                    <w:sz w:val="20"/>
                    <w:szCs w:val="20"/>
                  </w:rPr>
                  <m:t>-1</m:t>
                </m:r>
              </m:sub>
            </m:sSub>
          </m:den>
        </m:f>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ε</m:t>
            </m:r>
          </m:e>
          <m:sub>
            <m:r>
              <w:rPr>
                <w:rFonts w:ascii="Cambria Math" w:hAnsi="Cambria Math"/>
                <w:sz w:val="20"/>
                <w:szCs w:val="20"/>
              </w:rPr>
              <m:t>t</m:t>
            </m:r>
          </m:sub>
        </m:sSub>
      </m:oMath>
      <w:r w:rsidR="005155ED">
        <w:rPr>
          <w:rFonts w:ascii="Times New Roman" w:hAnsi="Times New Roman" w:cs="Times New Roman"/>
          <w:sz w:val="20"/>
          <w:szCs w:val="20"/>
        </w:rPr>
        <w:t xml:space="preserve"> . * </w:t>
      </w:r>
      <w:r w:rsidRPr="007571ED">
        <w:rPr>
          <w:rFonts w:ascii="Times New Roman" w:hAnsi="Times New Roman" w:cs="Times New Roman"/>
          <w:sz w:val="20"/>
          <w:szCs w:val="20"/>
        </w:rPr>
        <w:t>Level of statistical significance at 10%.</w:t>
      </w:r>
    </w:p>
    <w:tbl>
      <w:tblPr>
        <w:tblW w:w="0" w:type="auto"/>
        <w:jc w:val="center"/>
        <w:tblBorders>
          <w:top w:val="single" w:sz="4" w:space="0" w:color="00000A"/>
          <w:left w:val="nil"/>
          <w:bottom w:val="nil"/>
          <w:right w:val="nil"/>
          <w:insideH w:val="nil"/>
          <w:insideV w:val="nil"/>
        </w:tblBorders>
        <w:tblLook w:val="04A0"/>
      </w:tblPr>
      <w:tblGrid>
        <w:gridCol w:w="2300"/>
        <w:gridCol w:w="1074"/>
        <w:gridCol w:w="1227"/>
        <w:gridCol w:w="1240"/>
        <w:gridCol w:w="1309"/>
        <w:gridCol w:w="1415"/>
      </w:tblGrid>
      <w:tr w:rsidR="00C251D6">
        <w:trPr>
          <w:cantSplit/>
          <w:jc w:val="center"/>
        </w:trPr>
        <w:tc>
          <w:tcPr>
            <w:tcW w:w="2300" w:type="dxa"/>
            <w:tcBorders>
              <w:top w:val="single" w:sz="4" w:space="0" w:color="00000A"/>
              <w:left w:val="nil"/>
              <w:bottom w:val="nil"/>
              <w:right w:val="nil"/>
            </w:tcBorders>
            <w:shd w:val="clear" w:color="auto" w:fill="FFFFFF"/>
          </w:tcPr>
          <w:p w:rsidR="00C251D6" w:rsidRDefault="00C251D6">
            <w:pPr>
              <w:spacing w:after="0"/>
              <w:rPr>
                <w:rFonts w:ascii="Times New Roman" w:hAnsi="Times New Roman" w:cs="Times New Roman"/>
              </w:rPr>
            </w:pPr>
          </w:p>
        </w:tc>
        <w:tc>
          <w:tcPr>
            <w:tcW w:w="6265" w:type="dxa"/>
            <w:gridSpan w:val="5"/>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t = 1</w:t>
            </w:r>
          </w:p>
          <w:p w:rsidR="00C251D6" w:rsidRDefault="00C251D6">
            <w:pPr>
              <w:spacing w:after="0"/>
              <w:jc w:val="center"/>
              <w:rPr>
                <w:rFonts w:ascii="Times New Roman" w:hAnsi="Times New Roman" w:cs="Times New Roman"/>
              </w:rPr>
            </w:pPr>
          </w:p>
        </w:tc>
      </w:tr>
      <w:tr w:rsidR="00C251D6">
        <w:trPr>
          <w:cantSplit/>
          <w:jc w:val="center"/>
        </w:trPr>
        <w:tc>
          <w:tcPr>
            <w:tcW w:w="2300" w:type="dxa"/>
            <w:tcBorders>
              <w:top w:val="nil"/>
              <w:left w:val="nil"/>
              <w:bottom w:val="single" w:sz="4" w:space="0" w:color="00000A"/>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Year</w:t>
            </w:r>
          </w:p>
          <w:p w:rsidR="00C251D6" w:rsidRDefault="00C251D6">
            <w:pPr>
              <w:spacing w:after="0"/>
              <w:rPr>
                <w:rFonts w:ascii="Times New Roman" w:hAnsi="Times New Roman" w:cs="Times New Roman"/>
              </w:rPr>
            </w:pPr>
          </w:p>
        </w:tc>
        <w:tc>
          <w:tcPr>
            <w:tcW w:w="1074"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0</m:t>
                    </m:r>
                  </m:sub>
                </m:sSub>
              </m:oMath>
            </m:oMathPara>
          </w:p>
          <w:p w:rsidR="00C251D6" w:rsidRDefault="001C74F3">
            <w:pPr>
              <w:spacing w:after="0"/>
              <w:jc w:val="center"/>
              <w:rPr>
                <w:rFonts w:ascii="Times New Roman" w:hAnsi="Times New Roman" w:cs="Times New Roman"/>
              </w:rPr>
            </w:pPr>
            <w:r>
              <w:rPr>
                <w:rFonts w:ascii="Times New Roman" w:hAnsi="Times New Roman" w:cs="Times New Roman"/>
              </w:rPr>
              <w:t>(t-stat)</w:t>
            </w:r>
          </w:p>
        </w:tc>
        <w:tc>
          <w:tcPr>
            <w:tcW w:w="1227"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1P</m:t>
                    </m:r>
                  </m:sub>
                </m:sSub>
              </m:oMath>
            </m:oMathPara>
          </w:p>
          <w:p w:rsidR="00C251D6" w:rsidRDefault="001C74F3">
            <w:pPr>
              <w:spacing w:after="0"/>
              <w:jc w:val="center"/>
              <w:rPr>
                <w:rFonts w:ascii="Times New Roman" w:hAnsi="Times New Roman" w:cs="Times New Roman"/>
              </w:rPr>
            </w:pPr>
            <w:r>
              <w:rPr>
                <w:rFonts w:ascii="Times New Roman" w:hAnsi="Times New Roman" w:cs="Times New Roman"/>
              </w:rPr>
              <w:t>(t-stat)</w:t>
            </w:r>
          </w:p>
        </w:tc>
        <w:tc>
          <w:tcPr>
            <w:tcW w:w="1240"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1N</m:t>
                    </m:r>
                  </m:sub>
                </m:sSub>
              </m:oMath>
            </m:oMathPara>
          </w:p>
          <w:p w:rsidR="00C251D6" w:rsidRDefault="001C74F3">
            <w:pPr>
              <w:spacing w:after="0"/>
              <w:jc w:val="center"/>
              <w:rPr>
                <w:rFonts w:ascii="Times New Roman" w:hAnsi="Times New Roman" w:cs="Times New Roman"/>
              </w:rPr>
            </w:pPr>
            <w:r>
              <w:rPr>
                <w:rFonts w:ascii="Times New Roman" w:hAnsi="Times New Roman" w:cs="Times New Roman"/>
              </w:rPr>
              <w:t>(t-stat)</w:t>
            </w:r>
          </w:p>
        </w:tc>
        <w:tc>
          <w:tcPr>
            <w:tcW w:w="1309"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2</m:t>
                    </m:r>
                  </m:sub>
                </m:sSub>
              </m:oMath>
            </m:oMathPara>
          </w:p>
          <w:p w:rsidR="00C251D6" w:rsidRDefault="001C74F3">
            <w:pPr>
              <w:spacing w:after="0"/>
              <w:jc w:val="center"/>
              <w:rPr>
                <w:rFonts w:ascii="Times New Roman" w:hAnsi="Times New Roman" w:cs="Times New Roman"/>
              </w:rPr>
            </w:pPr>
            <w:r>
              <w:rPr>
                <w:rFonts w:ascii="Times New Roman" w:hAnsi="Times New Roman" w:cs="Times New Roman"/>
              </w:rPr>
              <w:t>(t-stat)</w:t>
            </w:r>
          </w:p>
        </w:tc>
        <w:tc>
          <w:tcPr>
            <w:tcW w:w="1415"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3</m:t>
                    </m:r>
                  </m:sub>
                </m:sSub>
              </m:oMath>
            </m:oMathPara>
          </w:p>
          <w:p w:rsidR="00C251D6" w:rsidRDefault="001C74F3">
            <w:pPr>
              <w:spacing w:after="0"/>
              <w:jc w:val="center"/>
              <w:rPr>
                <w:rFonts w:ascii="Times New Roman" w:hAnsi="Times New Roman" w:cs="Times New Roman"/>
              </w:rPr>
            </w:pPr>
            <w:r>
              <w:rPr>
                <w:rFonts w:ascii="Times New Roman" w:hAnsi="Times New Roman" w:cs="Times New Roman"/>
              </w:rPr>
              <w:t>(t-stat)</w:t>
            </w:r>
          </w:p>
        </w:tc>
      </w:tr>
      <w:tr w:rsidR="00C251D6">
        <w:trPr>
          <w:cantSplit/>
          <w:jc w:val="center"/>
        </w:trPr>
        <w:tc>
          <w:tcPr>
            <w:tcW w:w="2300" w:type="dxa"/>
            <w:tcBorders>
              <w:top w:val="single" w:sz="4" w:space="0" w:color="00000A"/>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2002</w:t>
            </w:r>
          </w:p>
        </w:tc>
        <w:tc>
          <w:tcPr>
            <w:tcW w:w="1074"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w:t>
            </w:r>
          </w:p>
        </w:tc>
        <w:tc>
          <w:tcPr>
            <w:tcW w:w="1227"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w:t>
            </w:r>
          </w:p>
        </w:tc>
        <w:tc>
          <w:tcPr>
            <w:tcW w:w="1240"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w:t>
            </w:r>
          </w:p>
        </w:tc>
        <w:tc>
          <w:tcPr>
            <w:tcW w:w="1309"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w:t>
            </w:r>
          </w:p>
        </w:tc>
        <w:tc>
          <w:tcPr>
            <w:tcW w:w="1415"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2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240"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309"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415"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2003</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0.046</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0.013</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-0.003</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-0.209*</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0.023</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(0.96)</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(0.82)</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(-2.30)</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(0.32)</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2004</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0.092</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0.019</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-0.068</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0.007</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0.148</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(1.35)</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(0.37)</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(-0.48)</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(0.05)</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(0.76)</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2005</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-0.123</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0.065</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-0.110</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0.100*</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-0.475</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(-1.59)</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(1.21)</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(-0.64)</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(5.17)</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(-1.31)</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2006</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0.087</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0.190*</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-0.410*</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-0.281</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0.347*</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(1.31)</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(6.05)</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(-2.90)</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(-1.61)</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(2.36)</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2007</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0.098</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0.014</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0.145</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-0.144*</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0.128</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(1.21)</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(0.61)</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(0.35)</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(-76.98)</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(0.58)</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2008</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0.063</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0.004</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0.172</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-0.028</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-0.047*</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(0.92)</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(0.42)</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(1.14)</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(-0.20)</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(-3.38)</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2009</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0.159*</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-0.056</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0.133</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-0.095</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-0.71*</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(2.10)</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(-0.66)</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(0.94)</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(-1.41)</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(-3.93)</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2010</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0.036</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-0.038</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0.542*</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0.407*</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-0.129</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(0.47)</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(-1.18)</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(2.19)</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(2.84)</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(-1.02)</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2011</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0.099*</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0.032</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0.435*</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-0.152*</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0.348*</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(2.14)</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(0.71)</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(3.47)</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(-1.80)</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(3.99)</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2012</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-0.054</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0.001*</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0.003</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-0.058</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0.279*</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(-1.41)</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(3.01)</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(-0.59)</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(1.99)</w:t>
            </w:r>
          </w:p>
        </w:tc>
      </w:tr>
      <w:tr w:rsidR="00C251D6">
        <w:trPr>
          <w:cantSplit/>
          <w:jc w:val="center"/>
        </w:trPr>
        <w:tc>
          <w:tcPr>
            <w:tcW w:w="2300"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2013</w:t>
            </w: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0.030</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-0.024</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0.176*</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-0.148*</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-0.005</w:t>
            </w:r>
          </w:p>
        </w:tc>
      </w:tr>
      <w:tr w:rsidR="00C251D6">
        <w:trPr>
          <w:cantSplit/>
          <w:jc w:val="center"/>
        </w:trPr>
        <w:tc>
          <w:tcPr>
            <w:tcW w:w="2300"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(0.71)</w:t>
            </w:r>
          </w:p>
        </w:tc>
        <w:tc>
          <w:tcPr>
            <w:tcW w:w="122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(-0.51)</w:t>
            </w:r>
          </w:p>
        </w:tc>
        <w:tc>
          <w:tcPr>
            <w:tcW w:w="1240"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(1.68)</w:t>
            </w:r>
          </w:p>
        </w:tc>
        <w:tc>
          <w:tcPr>
            <w:tcW w:w="1309"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b/>
              </w:rPr>
            </w:pPr>
            <w:r>
              <w:rPr>
                <w:rFonts w:ascii="Times New Roman" w:hAnsi="Times New Roman" w:cs="Times New Roman"/>
                <w:b/>
              </w:rPr>
              <w:t>(-1.92)</w:t>
            </w:r>
          </w:p>
        </w:tc>
        <w:tc>
          <w:tcPr>
            <w:tcW w:w="141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(-0.69)</w:t>
            </w:r>
          </w:p>
        </w:tc>
      </w:tr>
      <w:tr w:rsidR="00C251D6">
        <w:trPr>
          <w:cantSplit/>
          <w:jc w:val="center"/>
        </w:trPr>
        <w:tc>
          <w:tcPr>
            <w:tcW w:w="2300" w:type="dxa"/>
            <w:tcBorders>
              <w:top w:val="nil"/>
              <w:left w:val="nil"/>
              <w:bottom w:val="single" w:sz="4" w:space="0" w:color="00000A"/>
              <w:right w:val="nil"/>
            </w:tcBorders>
            <w:shd w:val="clear" w:color="auto" w:fill="FFFFFF"/>
          </w:tcPr>
          <w:p w:rsidR="00C251D6" w:rsidRDefault="00C251D6">
            <w:pPr>
              <w:spacing w:after="0"/>
              <w:rPr>
                <w:rFonts w:ascii="Times New Roman" w:hAnsi="Times New Roman" w:cs="Times New Roman"/>
              </w:rPr>
            </w:pPr>
          </w:p>
        </w:tc>
        <w:tc>
          <w:tcPr>
            <w:tcW w:w="1074"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227"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240"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309"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415"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r>
    </w:tbl>
    <w:p w:rsidR="00C251D6" w:rsidRPr="00DB2000" w:rsidRDefault="00C251D6" w:rsidP="00DB2000">
      <w:pPr>
        <w:spacing w:line="360" w:lineRule="auto"/>
        <w:jc w:val="both"/>
        <w:rPr>
          <w:rFonts w:ascii="Times New Roman" w:hAnsi="Times New Roman" w:cs="Times New Roman"/>
          <w:sz w:val="24"/>
          <w:szCs w:val="24"/>
        </w:rPr>
      </w:pPr>
    </w:p>
    <w:p w:rsidR="00C251D6" w:rsidRPr="00DB2000" w:rsidRDefault="0079772E"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ab/>
      </w:r>
      <w:r w:rsidR="001C74F3" w:rsidRPr="00DB2000">
        <w:rPr>
          <w:rFonts w:ascii="Times New Roman" w:hAnsi="Times New Roman" w:cs="Times New Roman"/>
          <w:sz w:val="24"/>
          <w:szCs w:val="24"/>
        </w:rPr>
        <w:t>To evaluate the reliability of dividend changes as predictors of future earnings changes and to see whether the relation</w:t>
      </w:r>
      <w:r w:rsidR="006B0654" w:rsidRPr="00DB2000">
        <w:rPr>
          <w:rFonts w:ascii="Times New Roman" w:hAnsi="Times New Roman" w:cs="Times New Roman"/>
          <w:sz w:val="24"/>
          <w:szCs w:val="24"/>
        </w:rPr>
        <w:t>ship</w:t>
      </w:r>
      <w:r w:rsidR="001C74F3" w:rsidRPr="00DB2000">
        <w:rPr>
          <w:rFonts w:ascii="Times New Roman" w:hAnsi="Times New Roman" w:cs="Times New Roman"/>
          <w:sz w:val="24"/>
          <w:szCs w:val="24"/>
        </w:rPr>
        <w:t xml:space="preserve"> between dividend changes and earnings changes varies through</w:t>
      </w:r>
      <w:r w:rsidR="009E5AFC" w:rsidRPr="00DB2000">
        <w:rPr>
          <w:rFonts w:ascii="Times New Roman" w:hAnsi="Times New Roman" w:cs="Times New Roman"/>
          <w:sz w:val="24"/>
          <w:szCs w:val="24"/>
        </w:rPr>
        <w:t xml:space="preserve"> time in a systematic way, T</w:t>
      </w:r>
      <w:r w:rsidR="001C74F3" w:rsidRPr="00DB2000">
        <w:rPr>
          <w:rFonts w:ascii="Times New Roman" w:hAnsi="Times New Roman" w:cs="Times New Roman"/>
          <w:sz w:val="24"/>
          <w:szCs w:val="24"/>
        </w:rPr>
        <w:t>able III shows the results of this relation</w:t>
      </w:r>
      <w:r w:rsidR="009E5AFC" w:rsidRPr="00DB2000">
        <w:rPr>
          <w:rFonts w:ascii="Times New Roman" w:hAnsi="Times New Roman" w:cs="Times New Roman"/>
          <w:sz w:val="24"/>
          <w:szCs w:val="24"/>
        </w:rPr>
        <w:t>ship</w:t>
      </w:r>
      <w:r w:rsidR="001C74F3" w:rsidRPr="00DB2000">
        <w:rPr>
          <w:rFonts w:ascii="Times New Roman" w:hAnsi="Times New Roman" w:cs="Times New Roman"/>
          <w:sz w:val="24"/>
          <w:szCs w:val="24"/>
        </w:rPr>
        <w:t xml:space="preserve">. The coefficients of the regression </w:t>
      </w:r>
      <w:r w:rsidR="009E5AFC" w:rsidRPr="00DB2000">
        <w:rPr>
          <w:rFonts w:ascii="Times New Roman" w:hAnsi="Times New Roman" w:cs="Times New Roman"/>
          <w:sz w:val="24"/>
          <w:szCs w:val="24"/>
        </w:rPr>
        <w:t>that were</w:t>
      </w:r>
      <w:r w:rsidR="001C74F3" w:rsidRPr="00DB2000">
        <w:rPr>
          <w:rFonts w:ascii="Times New Roman" w:hAnsi="Times New Roman" w:cs="Times New Roman"/>
          <w:sz w:val="24"/>
          <w:szCs w:val="24"/>
        </w:rPr>
        <w:t xml:space="preserve"> positive/negative and significant at least at the 10% level are highlighted </w:t>
      </w:r>
      <w:r w:rsidRPr="00DB2000">
        <w:rPr>
          <w:rFonts w:ascii="Times New Roman" w:hAnsi="Times New Roman" w:cs="Times New Roman"/>
          <w:sz w:val="24"/>
          <w:szCs w:val="24"/>
        </w:rPr>
        <w:t>in bold. This represents only 18% for positive</w:t>
      </w:r>
      <w:r w:rsidR="001C74F3" w:rsidRPr="00DB2000">
        <w:rPr>
          <w:rFonts w:ascii="Times New Roman" w:hAnsi="Times New Roman" w:cs="Times New Roman"/>
          <w:sz w:val="24"/>
          <w:szCs w:val="24"/>
        </w:rPr>
        <w:t xml:space="preserve"> relation</w:t>
      </w:r>
      <w:r w:rsidRPr="00DB2000">
        <w:rPr>
          <w:rFonts w:ascii="Times New Roman" w:hAnsi="Times New Roman" w:cs="Times New Roman"/>
          <w:sz w:val="24"/>
          <w:szCs w:val="24"/>
        </w:rPr>
        <w:t>ships</w:t>
      </w:r>
      <w:r w:rsidR="001C74F3" w:rsidRPr="00DB2000">
        <w:rPr>
          <w:rFonts w:ascii="Times New Roman" w:hAnsi="Times New Roman" w:cs="Times New Roman"/>
          <w:sz w:val="24"/>
          <w:szCs w:val="24"/>
        </w:rPr>
        <w:t xml:space="preserve"> and 36% for negative relation</w:t>
      </w:r>
      <w:r w:rsidRPr="00DB2000">
        <w:rPr>
          <w:rFonts w:ascii="Times New Roman" w:hAnsi="Times New Roman" w:cs="Times New Roman"/>
          <w:sz w:val="24"/>
          <w:szCs w:val="24"/>
        </w:rPr>
        <w:t>ships, over</w:t>
      </w:r>
      <w:r w:rsidR="001C74F3" w:rsidRPr="00DB2000">
        <w:rPr>
          <w:rFonts w:ascii="Times New Roman" w:hAnsi="Times New Roman" w:cs="Times New Roman"/>
          <w:sz w:val="24"/>
          <w:szCs w:val="24"/>
        </w:rPr>
        <w:t xml:space="preserve"> the years when t = 1. That is, in most of the years in our sample, current changes in dividends are not a reliable signal of future earnings changes, in the same direction,</w:t>
      </w:r>
      <w:r w:rsidR="00DE0746" w:rsidRPr="00DB2000">
        <w:rPr>
          <w:rFonts w:ascii="Times New Roman" w:hAnsi="Times New Roman" w:cs="Times New Roman"/>
          <w:sz w:val="24"/>
          <w:szCs w:val="24"/>
        </w:rPr>
        <w:t xml:space="preserve"> instead, there are more years</w:t>
      </w:r>
      <w:r w:rsidR="00905B74" w:rsidRPr="00DB2000">
        <w:rPr>
          <w:rFonts w:ascii="Times New Roman" w:hAnsi="Times New Roman" w:cs="Times New Roman"/>
          <w:sz w:val="24"/>
          <w:szCs w:val="24"/>
        </w:rPr>
        <w:t xml:space="preserve"> on the</w:t>
      </w:r>
      <w:r w:rsidR="001C74F3" w:rsidRPr="00DB2000">
        <w:rPr>
          <w:rFonts w:ascii="Times New Roman" w:hAnsi="Times New Roman" w:cs="Times New Roman"/>
          <w:sz w:val="24"/>
          <w:szCs w:val="24"/>
        </w:rPr>
        <w:t xml:space="preserve"> period of analysis with this relation in the opposite direction. This conclusion is consistent with the previous work done by Grullon, Michaely, Benartzi, and Thaler (2005), and the last finding is new, taking into account the mining industry under analysis.</w:t>
      </w:r>
    </w:p>
    <w:p w:rsidR="00C251D6" w:rsidRPr="00DB2000" w:rsidRDefault="00952C46"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ab/>
      </w:r>
      <w:r w:rsidR="001C74F3" w:rsidRPr="00DB2000">
        <w:rPr>
          <w:rFonts w:ascii="Times New Roman" w:hAnsi="Times New Roman" w:cs="Times New Roman"/>
          <w:sz w:val="24"/>
          <w:szCs w:val="24"/>
        </w:rPr>
        <w:t>In the second stage of the Fama-MacBeth regression</w:t>
      </w:r>
      <w:r w:rsidRPr="00DB2000">
        <w:rPr>
          <w:rFonts w:ascii="Times New Roman" w:hAnsi="Times New Roman" w:cs="Times New Roman"/>
          <w:sz w:val="24"/>
          <w:szCs w:val="24"/>
        </w:rPr>
        <w:t>,</w:t>
      </w:r>
      <w:r w:rsidR="001C74F3" w:rsidRPr="00DB2000">
        <w:rPr>
          <w:rFonts w:ascii="Times New Roman" w:hAnsi="Times New Roman" w:cs="Times New Roman"/>
          <w:sz w:val="24"/>
          <w:szCs w:val="24"/>
        </w:rPr>
        <w:t xml:space="preserve"> we calculate time-series means of Betas. Each Beta is obtained from the cross-sectional</w:t>
      </w:r>
      <w:r w:rsidR="009E0549" w:rsidRPr="00DB2000">
        <w:rPr>
          <w:rFonts w:ascii="Times New Roman" w:hAnsi="Times New Roman" w:cs="Times New Roman"/>
          <w:sz w:val="24"/>
          <w:szCs w:val="24"/>
        </w:rPr>
        <w:t xml:space="preserve"> regression calculated with</w:t>
      </w:r>
      <w:r w:rsidR="003A73A0" w:rsidRPr="00DB2000">
        <w:rPr>
          <w:rFonts w:ascii="Times New Roman" w:hAnsi="Times New Roman" w:cs="Times New Roman"/>
          <w:sz w:val="24"/>
          <w:szCs w:val="24"/>
        </w:rPr>
        <w:t xml:space="preserve"> the</w:t>
      </w:r>
      <w:r w:rsidR="00905B74" w:rsidRPr="00DB2000">
        <w:rPr>
          <w:rFonts w:ascii="Times New Roman" w:hAnsi="Times New Roman" w:cs="Times New Roman"/>
          <w:sz w:val="24"/>
          <w:szCs w:val="24"/>
        </w:rPr>
        <w:t xml:space="preserve"> </w:t>
      </w:r>
      <w:r w:rsidR="00405931" w:rsidRPr="00DB2000">
        <w:rPr>
          <w:rFonts w:ascii="Times New Roman" w:hAnsi="Times New Roman" w:cs="Times New Roman"/>
          <w:sz w:val="24"/>
          <w:szCs w:val="24"/>
        </w:rPr>
        <w:t>e</w:t>
      </w:r>
      <w:r w:rsidR="00D241D4" w:rsidRPr="00DB2000">
        <w:rPr>
          <w:rFonts w:ascii="Times New Roman" w:hAnsi="Times New Roman" w:cs="Times New Roman"/>
          <w:sz w:val="24"/>
          <w:szCs w:val="24"/>
        </w:rPr>
        <w:t>quation</w:t>
      </w:r>
      <w:r w:rsidR="00405931" w:rsidRPr="00DB2000">
        <w:rPr>
          <w:rFonts w:ascii="Times New Roman" w:hAnsi="Times New Roman" w:cs="Times New Roman"/>
          <w:sz w:val="24"/>
          <w:szCs w:val="24"/>
        </w:rPr>
        <w:t xml:space="preserve"> below</w:t>
      </w:r>
      <w:r w:rsidR="003A73A0" w:rsidRPr="00DB2000">
        <w:rPr>
          <w:rFonts w:ascii="Times New Roman" w:hAnsi="Times New Roman" w:cs="Times New Roman"/>
          <w:sz w:val="24"/>
          <w:szCs w:val="24"/>
        </w:rPr>
        <w:t>.</w:t>
      </w:r>
      <w:r w:rsidR="001C74F3" w:rsidRPr="00DB2000">
        <w:rPr>
          <w:rFonts w:ascii="Times New Roman" w:hAnsi="Times New Roman" w:cs="Times New Roman"/>
          <w:sz w:val="24"/>
          <w:szCs w:val="24"/>
        </w:rPr>
        <w:t xml:space="preserve"> The standard deviations for these averages are estimated using Hansen-Rodrick (1980) standard error correction model. The coefficients of the regression are evaluated if they have a statistical s</w:t>
      </w:r>
      <w:r w:rsidR="00D241D4" w:rsidRPr="00DB2000">
        <w:rPr>
          <w:rFonts w:ascii="Times New Roman" w:hAnsi="Times New Roman" w:cs="Times New Roman"/>
          <w:sz w:val="24"/>
          <w:szCs w:val="24"/>
        </w:rPr>
        <w:t xml:space="preserve">ignificance at 90%, 95% and 99% </w:t>
      </w:r>
      <w:r w:rsidR="001C74F3" w:rsidRPr="00DB2000">
        <w:rPr>
          <w:rFonts w:ascii="Times New Roman" w:hAnsi="Times New Roman" w:cs="Times New Roman"/>
          <w:sz w:val="24"/>
          <w:szCs w:val="24"/>
        </w:rPr>
        <w:t>level using the Wald test</w:t>
      </w:r>
      <w:r w:rsidR="006B0654" w:rsidRPr="00DB2000">
        <w:rPr>
          <w:rFonts w:ascii="Times New Roman" w:hAnsi="Times New Roman" w:cs="Times New Roman"/>
          <w:sz w:val="24"/>
          <w:szCs w:val="24"/>
        </w:rPr>
        <w:t>. The results are shown in the T</w:t>
      </w:r>
      <w:r w:rsidR="001C74F3" w:rsidRPr="00DB2000">
        <w:rPr>
          <w:rFonts w:ascii="Times New Roman" w:hAnsi="Times New Roman" w:cs="Times New Roman"/>
          <w:sz w:val="24"/>
          <w:szCs w:val="24"/>
        </w:rPr>
        <w:t>able IV.</w:t>
      </w:r>
    </w:p>
    <w:p w:rsidR="00C251D6" w:rsidRPr="00DB2000" w:rsidRDefault="00C251D6" w:rsidP="00DB2000">
      <w:pPr>
        <w:spacing w:line="360" w:lineRule="auto"/>
        <w:jc w:val="center"/>
        <w:rPr>
          <w:rFonts w:ascii="Times New Roman" w:hAnsi="Times New Roman" w:cs="Times New Roman"/>
          <w:sz w:val="24"/>
          <w:szCs w:val="24"/>
        </w:rPr>
      </w:pPr>
    </w:p>
    <w:p w:rsidR="00C251D6" w:rsidRPr="00DB2000" w:rsidRDefault="00C251D6" w:rsidP="00DB2000">
      <w:pPr>
        <w:spacing w:line="360" w:lineRule="auto"/>
        <w:jc w:val="center"/>
        <w:rPr>
          <w:rFonts w:ascii="Times New Roman" w:hAnsi="Times New Roman" w:cs="Times New Roman"/>
          <w:sz w:val="24"/>
          <w:szCs w:val="24"/>
        </w:rPr>
      </w:pPr>
    </w:p>
    <w:p w:rsidR="00C251D6" w:rsidRPr="00DB2000" w:rsidRDefault="00C251D6" w:rsidP="00DB2000">
      <w:pPr>
        <w:spacing w:line="360" w:lineRule="auto"/>
        <w:jc w:val="center"/>
        <w:rPr>
          <w:rFonts w:ascii="Times New Roman" w:hAnsi="Times New Roman" w:cs="Times New Roman"/>
          <w:sz w:val="24"/>
          <w:szCs w:val="24"/>
        </w:rPr>
      </w:pPr>
    </w:p>
    <w:p w:rsidR="00C251D6" w:rsidRPr="00DB2000" w:rsidRDefault="00C251D6" w:rsidP="00DB2000">
      <w:pPr>
        <w:spacing w:line="360" w:lineRule="auto"/>
        <w:jc w:val="center"/>
        <w:rPr>
          <w:rFonts w:ascii="Times New Roman" w:hAnsi="Times New Roman" w:cs="Times New Roman"/>
          <w:sz w:val="24"/>
          <w:szCs w:val="24"/>
        </w:rPr>
      </w:pPr>
    </w:p>
    <w:p w:rsidR="00C251D6" w:rsidRPr="00DB2000" w:rsidRDefault="00C251D6" w:rsidP="00DB2000">
      <w:pPr>
        <w:spacing w:line="360" w:lineRule="auto"/>
        <w:jc w:val="center"/>
        <w:rPr>
          <w:rFonts w:ascii="Times New Roman" w:hAnsi="Times New Roman" w:cs="Times New Roman"/>
          <w:sz w:val="24"/>
          <w:szCs w:val="24"/>
        </w:rPr>
      </w:pPr>
    </w:p>
    <w:p w:rsidR="00C251D6" w:rsidRPr="00DB2000" w:rsidRDefault="00C251D6" w:rsidP="00DB2000">
      <w:pPr>
        <w:spacing w:line="360" w:lineRule="auto"/>
        <w:jc w:val="center"/>
        <w:rPr>
          <w:rFonts w:ascii="Times New Roman" w:hAnsi="Times New Roman" w:cs="Times New Roman"/>
          <w:sz w:val="24"/>
          <w:szCs w:val="24"/>
        </w:rPr>
      </w:pPr>
    </w:p>
    <w:p w:rsidR="00C251D6" w:rsidRPr="00DB2000" w:rsidRDefault="00C251D6" w:rsidP="00DB2000">
      <w:pPr>
        <w:spacing w:line="360" w:lineRule="auto"/>
        <w:jc w:val="center"/>
        <w:rPr>
          <w:rFonts w:ascii="Times New Roman" w:hAnsi="Times New Roman" w:cs="Times New Roman"/>
          <w:sz w:val="24"/>
          <w:szCs w:val="24"/>
        </w:rPr>
      </w:pPr>
    </w:p>
    <w:p w:rsidR="00C251D6" w:rsidRPr="00DB2000" w:rsidRDefault="00C251D6" w:rsidP="00DB2000">
      <w:pPr>
        <w:spacing w:line="360" w:lineRule="auto"/>
        <w:jc w:val="center"/>
        <w:rPr>
          <w:rFonts w:ascii="Times New Roman" w:hAnsi="Times New Roman" w:cs="Times New Roman"/>
          <w:sz w:val="24"/>
          <w:szCs w:val="24"/>
        </w:rPr>
      </w:pPr>
    </w:p>
    <w:p w:rsidR="00C251D6" w:rsidRDefault="001C74F3">
      <w:pPr>
        <w:jc w:val="center"/>
        <w:rPr>
          <w:rFonts w:ascii="Times New Roman" w:hAnsi="Times New Roman" w:cs="Times New Roman"/>
        </w:rPr>
      </w:pPr>
      <w:r>
        <w:rPr>
          <w:rFonts w:ascii="Times New Roman" w:hAnsi="Times New Roman" w:cs="Times New Roman"/>
        </w:rPr>
        <w:lastRenderedPageBreak/>
        <w:t>Table IV</w:t>
      </w:r>
    </w:p>
    <w:p w:rsidR="00C251D6" w:rsidRDefault="001C74F3">
      <w:pPr>
        <w:jc w:val="center"/>
        <w:rPr>
          <w:rFonts w:ascii="Times New Roman" w:hAnsi="Times New Roman" w:cs="Times New Roman"/>
          <w:b/>
        </w:rPr>
      </w:pPr>
      <w:r>
        <w:rPr>
          <w:rFonts w:ascii="Times New Roman" w:hAnsi="Times New Roman" w:cs="Times New Roman"/>
          <w:b/>
        </w:rPr>
        <w:t>Time-Series means of the Cross-sectional Regressions Coefficients</w:t>
      </w:r>
    </w:p>
    <w:p w:rsidR="00C251D6" w:rsidRPr="00075BE2" w:rsidRDefault="001C74F3" w:rsidP="00DB2000">
      <w:pPr>
        <w:jc w:val="both"/>
        <w:rPr>
          <w:rFonts w:ascii="Times New Roman" w:hAnsi="Times New Roman" w:cs="Times New Roman"/>
          <w:sz w:val="20"/>
          <w:szCs w:val="20"/>
        </w:rPr>
      </w:pPr>
      <w:r w:rsidRPr="00075BE2">
        <w:rPr>
          <w:rFonts w:ascii="Times New Roman" w:hAnsi="Times New Roman" w:cs="Times New Roman"/>
          <w:sz w:val="20"/>
          <w:szCs w:val="20"/>
        </w:rPr>
        <w:t>Time-Series means of the Cross-sectional Regressions Coefficient in accordance to Fama-MacBeth regression. Each Beta is obtained from the cross-sectiona</w:t>
      </w:r>
      <w:r w:rsidR="003463A0" w:rsidRPr="00075BE2">
        <w:rPr>
          <w:rFonts w:ascii="Times New Roman" w:hAnsi="Times New Roman" w:cs="Times New Roman"/>
          <w:sz w:val="20"/>
          <w:szCs w:val="20"/>
        </w:rPr>
        <w:t>l regression calculated with</w:t>
      </w:r>
      <w:r w:rsidR="00405931">
        <w:rPr>
          <w:rFonts w:ascii="Times New Roman" w:hAnsi="Times New Roman" w:cs="Times New Roman"/>
          <w:sz w:val="20"/>
          <w:szCs w:val="20"/>
        </w:rPr>
        <w:t xml:space="preserve"> the equation below</w:t>
      </w:r>
      <w:r w:rsidRPr="00075BE2">
        <w:rPr>
          <w:rFonts w:ascii="Times New Roman" w:hAnsi="Times New Roman" w:cs="Times New Roman"/>
          <w:sz w:val="20"/>
          <w:szCs w:val="20"/>
        </w:rPr>
        <w:t>. The standard deviation for these average are estimated using Hansen-Rodrick (1980) standard error correction model. The coefficient of the regression are evaluated if they have a statistical significance a</w:t>
      </w:r>
      <w:r w:rsidR="00D65630">
        <w:rPr>
          <w:rFonts w:ascii="Times New Roman" w:hAnsi="Times New Roman" w:cs="Times New Roman"/>
          <w:sz w:val="20"/>
          <w:szCs w:val="20"/>
        </w:rPr>
        <w:t>t 90%, 95% and 99% levels. The e</w:t>
      </w:r>
      <w:r w:rsidRPr="00075BE2">
        <w:rPr>
          <w:rFonts w:ascii="Times New Roman" w:hAnsi="Times New Roman" w:cs="Times New Roman"/>
          <w:sz w:val="20"/>
          <w:szCs w:val="20"/>
        </w:rPr>
        <w:t xml:space="preserve">quation is:  </w:t>
      </w:r>
      <m:oMath>
        <m:f>
          <m:fPr>
            <m:ctrlPr>
              <w:rPr>
                <w:rFonts w:ascii="Cambria Math" w:hAnsi="Cambria Math" w:cs="Times New Roman"/>
                <w:sz w:val="20"/>
                <w:szCs w:val="20"/>
              </w:rPr>
            </m:ctrlPr>
          </m:fPr>
          <m:num>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t</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t-1</m:t>
                    </m:r>
                  </m:sub>
                </m:sSub>
              </m:e>
            </m:d>
          </m:num>
          <m:den>
            <m:sSub>
              <m:sSubPr>
                <m:ctrlPr>
                  <w:rPr>
                    <w:rFonts w:ascii="Cambria Math" w:hAnsi="Cambria Math" w:cs="Times New Roman"/>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-1</m:t>
                </m:r>
              </m:sub>
            </m:sSub>
          </m:den>
        </m:f>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1P</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DPC</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xR∆</m:t>
        </m:r>
        <m:sSub>
          <m:sSubPr>
            <m:ctrlPr>
              <w:rPr>
                <w:rFonts w:ascii="Cambria Math" w:hAnsi="Cambria Math" w:cs="Times New Roman"/>
                <w:sz w:val="20"/>
                <w:szCs w:val="20"/>
              </w:rPr>
            </m:ctrlPr>
          </m:sSubPr>
          <m:e>
            <m:r>
              <m:rPr>
                <m:sty m:val="p"/>
              </m:rPr>
              <w:rPr>
                <w:rFonts w:ascii="Cambria Math" w:hAnsi="Cambria Math" w:cs="Times New Roman"/>
                <w:sz w:val="20"/>
                <w:szCs w:val="20"/>
              </w:rPr>
              <m:t>DIV</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1N</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DNC</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xR∆</m:t>
        </m:r>
        <m:sSub>
          <m:sSubPr>
            <m:ctrlPr>
              <w:rPr>
                <w:rFonts w:ascii="Cambria Math" w:hAnsi="Cambria Math" w:cs="Times New Roman"/>
                <w:sz w:val="20"/>
                <w:szCs w:val="20"/>
              </w:rPr>
            </m:ctrlPr>
          </m:sSubPr>
          <m:e>
            <m:r>
              <m:rPr>
                <m:sty m:val="p"/>
              </m:rPr>
              <w:rPr>
                <w:rFonts w:ascii="Cambria Math" w:hAnsi="Cambria Math" w:cs="Times New Roman"/>
                <w:sz w:val="20"/>
                <w:szCs w:val="20"/>
              </w:rPr>
              <m:t>DIV</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ROE</m:t>
            </m:r>
          </m:e>
          <m:sub>
            <m:r>
              <m:rPr>
                <m:sty m:val="p"/>
              </m:rPr>
              <w:rPr>
                <w:rFonts w:ascii="Cambria Math" w:hAnsi="Cambria Math" w:cs="Times New Roman"/>
                <w:sz w:val="20"/>
                <w:szCs w:val="20"/>
              </w:rPr>
              <m:t>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m:rPr>
                <m:sty m:val="p"/>
              </m:rPr>
              <w:rPr>
                <w:rFonts w:ascii="Cambria Math" w:hAnsi="Cambria Math" w:cs="Times New Roman"/>
                <w:sz w:val="20"/>
                <w:szCs w:val="20"/>
              </w:rPr>
              <m:t>3</m:t>
            </m:r>
          </m:sub>
        </m:sSub>
        <m:f>
          <m:fPr>
            <m:ctrlPr>
              <w:rPr>
                <w:rFonts w:ascii="Cambria Math" w:hAnsi="Cambria Math" w:cs="Times New Roman"/>
                <w:sz w:val="20"/>
                <w:szCs w:val="20"/>
              </w:rPr>
            </m:ctrlPr>
          </m:fPr>
          <m:num>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-1</m:t>
                    </m:r>
                  </m:sub>
                </m:sSub>
              </m:e>
            </m:d>
          </m:num>
          <m:den>
            <m:sSub>
              <m:sSubPr>
                <m:ctrlPr>
                  <w:rPr>
                    <w:rFonts w:ascii="Cambria Math" w:hAnsi="Cambria Math" w:cs="Times New Roman"/>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-1</m:t>
                </m:r>
              </m:sub>
            </m:sSub>
          </m:den>
        </m:f>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t</m:t>
            </m:r>
          </m:sub>
        </m:sSub>
      </m:oMath>
    </w:p>
    <w:tbl>
      <w:tblPr>
        <w:tblW w:w="0" w:type="auto"/>
        <w:jc w:val="center"/>
        <w:tblBorders>
          <w:top w:val="single" w:sz="4" w:space="0" w:color="00000A"/>
          <w:left w:val="nil"/>
          <w:bottom w:val="nil"/>
          <w:right w:val="nil"/>
          <w:insideH w:val="nil"/>
          <w:insideV w:val="nil"/>
        </w:tblBorders>
        <w:tblLook w:val="04A0"/>
      </w:tblPr>
      <w:tblGrid>
        <w:gridCol w:w="1082"/>
        <w:gridCol w:w="1784"/>
        <w:gridCol w:w="1598"/>
        <w:gridCol w:w="955"/>
        <w:gridCol w:w="1020"/>
        <w:gridCol w:w="970"/>
        <w:gridCol w:w="1056"/>
        <w:gridCol w:w="1111"/>
      </w:tblGrid>
      <w:tr w:rsidR="00C251D6">
        <w:trPr>
          <w:cantSplit/>
          <w:jc w:val="center"/>
        </w:trPr>
        <w:tc>
          <w:tcPr>
            <w:tcW w:w="1094" w:type="dxa"/>
            <w:tcBorders>
              <w:top w:val="single" w:sz="4" w:space="0" w:color="00000A"/>
              <w:left w:val="nil"/>
              <w:bottom w:val="nil"/>
              <w:right w:val="nil"/>
            </w:tcBorders>
            <w:shd w:val="clear" w:color="auto" w:fill="FFFFFF"/>
          </w:tcPr>
          <w:p w:rsidR="00C251D6" w:rsidRDefault="00C251D6">
            <w:pPr>
              <w:spacing w:after="0"/>
              <w:rPr>
                <w:rFonts w:ascii="Times New Roman" w:hAnsi="Times New Roman" w:cs="Times New Roman"/>
              </w:rPr>
            </w:pPr>
          </w:p>
        </w:tc>
        <w:tc>
          <w:tcPr>
            <w:tcW w:w="1808" w:type="dxa"/>
            <w:tcBorders>
              <w:top w:val="single" w:sz="4" w:space="0" w:color="00000A"/>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622" w:type="dxa"/>
            <w:tcBorders>
              <w:top w:val="single" w:sz="4" w:space="0" w:color="00000A"/>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5144" w:type="dxa"/>
            <w:gridSpan w:val="5"/>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t = 1</w:t>
            </w:r>
          </w:p>
          <w:p w:rsidR="00C251D6" w:rsidRDefault="00C251D6">
            <w:pPr>
              <w:spacing w:after="0"/>
              <w:jc w:val="center"/>
              <w:rPr>
                <w:rFonts w:ascii="Times New Roman" w:hAnsi="Times New Roman" w:cs="Times New Roman"/>
              </w:rPr>
            </w:pPr>
          </w:p>
        </w:tc>
      </w:tr>
      <w:tr w:rsidR="00C251D6">
        <w:trPr>
          <w:cantSplit/>
          <w:jc w:val="center"/>
        </w:trPr>
        <w:tc>
          <w:tcPr>
            <w:tcW w:w="1094" w:type="dxa"/>
            <w:tcBorders>
              <w:top w:val="nil"/>
              <w:left w:val="nil"/>
              <w:bottom w:val="single" w:sz="4" w:space="0" w:color="00000A"/>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Year</w:t>
            </w:r>
          </w:p>
          <w:p w:rsidR="00C251D6" w:rsidRDefault="00C251D6">
            <w:pPr>
              <w:spacing w:after="0"/>
              <w:rPr>
                <w:rFonts w:ascii="Times New Roman" w:hAnsi="Times New Roman" w:cs="Times New Roman"/>
              </w:rPr>
            </w:pPr>
          </w:p>
        </w:tc>
        <w:tc>
          <w:tcPr>
            <w:tcW w:w="1808" w:type="dxa"/>
            <w:tcBorders>
              <w:top w:val="nil"/>
              <w:left w:val="nil"/>
              <w:bottom w:val="single" w:sz="4" w:space="0" w:color="00000A"/>
              <w:right w:val="nil"/>
            </w:tcBorders>
            <w:shd w:val="clear" w:color="auto" w:fill="FFFFFF"/>
          </w:tcPr>
          <w:p w:rsidR="00C251D6" w:rsidRDefault="00C251D6">
            <w:pPr>
              <w:spacing w:after="0"/>
              <w:jc w:val="center"/>
              <w:rPr>
                <w:rFonts w:ascii="Times New Roman" w:eastAsia="Calibri" w:hAnsi="Times New Roman" w:cs="Times New Roman"/>
              </w:rPr>
            </w:pPr>
          </w:p>
        </w:tc>
        <w:tc>
          <w:tcPr>
            <w:tcW w:w="1622"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0</m:t>
                    </m:r>
                  </m:sub>
                </m:sSub>
              </m:oMath>
            </m:oMathPara>
          </w:p>
        </w:tc>
        <w:tc>
          <w:tcPr>
            <w:tcW w:w="962"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1P</m:t>
                    </m:r>
                  </m:sub>
                </m:sSub>
              </m:oMath>
            </m:oMathPara>
          </w:p>
        </w:tc>
        <w:tc>
          <w:tcPr>
            <w:tcW w:w="1028"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1N</m:t>
                    </m:r>
                  </m:sub>
                </m:sSub>
              </m:oMath>
            </m:oMathPara>
          </w:p>
        </w:tc>
        <w:tc>
          <w:tcPr>
            <w:tcW w:w="977"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2</m:t>
                    </m:r>
                  </m:sub>
                </m:sSub>
              </m:oMath>
            </m:oMathPara>
          </w:p>
        </w:tc>
        <w:tc>
          <w:tcPr>
            <w:tcW w:w="1065" w:type="dxa"/>
            <w:tcBorders>
              <w:top w:val="single" w:sz="4" w:space="0" w:color="00000A"/>
              <w:left w:val="nil"/>
              <w:bottom w:val="single" w:sz="4" w:space="0" w:color="00000A"/>
              <w:right w:val="nil"/>
            </w:tcBorders>
            <w:shd w:val="clear" w:color="auto" w:fill="FFFFFF"/>
          </w:tcPr>
          <w:p w:rsidR="00C251D6" w:rsidRDefault="00C3307C">
            <w:pPr>
              <w:spacing w:after="0"/>
              <w:jc w:val="center"/>
            </w:pPr>
            <m:oMathPara>
              <m:oMath>
                <m:sSub>
                  <m:sSubPr>
                    <m:ctrlPr>
                      <w:rPr>
                        <w:rFonts w:ascii="Cambria Math" w:hAnsi="Cambria Math"/>
                      </w:rPr>
                    </m:ctrlPr>
                  </m:sSubPr>
                  <m:e>
                    <m:r>
                      <w:rPr>
                        <w:rFonts w:ascii="Cambria Math" w:hAnsi="Cambria Math"/>
                      </w:rPr>
                      <m:t>β</m:t>
                    </m:r>
                  </m:e>
                  <m:sub>
                    <m:r>
                      <w:rPr>
                        <w:rFonts w:ascii="Cambria Math" w:hAnsi="Cambria Math"/>
                      </w:rPr>
                      <m:t>3</m:t>
                    </m:r>
                  </m:sub>
                </m:sSub>
              </m:oMath>
            </m:oMathPara>
          </w:p>
        </w:tc>
        <w:tc>
          <w:tcPr>
            <w:tcW w:w="1112" w:type="dxa"/>
            <w:tcBorders>
              <w:top w:val="single" w:sz="4" w:space="0" w:color="00000A"/>
              <w:left w:val="nil"/>
              <w:bottom w:val="single" w:sz="4" w:space="0" w:color="00000A"/>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Adjusted-</w:t>
            </w:r>
            <m:oMath>
              <m:sSup>
                <m:sSupPr>
                  <m:ctrlPr>
                    <w:rPr>
                      <w:rFonts w:ascii="Cambria Math" w:hAnsi="Cambria Math"/>
                    </w:rPr>
                  </m:ctrlPr>
                </m:sSupPr>
                <m:e>
                  <m:r>
                    <w:rPr>
                      <w:rFonts w:ascii="Cambria Math" w:hAnsi="Cambria Math"/>
                    </w:rPr>
                    <m:t>R</m:t>
                  </m:r>
                </m:e>
                <m:sup>
                  <m:r>
                    <w:rPr>
                      <w:rFonts w:ascii="Cambria Math" w:hAnsi="Cambria Math"/>
                    </w:rPr>
                    <m:t>2</m:t>
                  </m:r>
                </m:sup>
              </m:sSup>
            </m:oMath>
          </w:p>
        </w:tc>
      </w:tr>
      <w:tr w:rsidR="00C251D6">
        <w:trPr>
          <w:cantSplit/>
          <w:jc w:val="center"/>
        </w:trPr>
        <w:tc>
          <w:tcPr>
            <w:tcW w:w="1094" w:type="dxa"/>
            <w:tcBorders>
              <w:top w:val="single" w:sz="4" w:space="0" w:color="00000A"/>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t = 1</w:t>
            </w:r>
          </w:p>
        </w:tc>
        <w:tc>
          <w:tcPr>
            <w:tcW w:w="1808" w:type="dxa"/>
            <w:tcBorders>
              <w:top w:val="single" w:sz="4" w:space="0" w:color="00000A"/>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Mean</w:t>
            </w:r>
          </w:p>
        </w:tc>
        <w:tc>
          <w:tcPr>
            <w:tcW w:w="1622"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0.048</w:t>
            </w:r>
          </w:p>
        </w:tc>
        <w:tc>
          <w:tcPr>
            <w:tcW w:w="962"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0.020</w:t>
            </w:r>
          </w:p>
        </w:tc>
        <w:tc>
          <w:tcPr>
            <w:tcW w:w="1028"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0.089</w:t>
            </w:r>
          </w:p>
        </w:tc>
        <w:tc>
          <w:tcPr>
            <w:tcW w:w="977"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0.027</w:t>
            </w:r>
          </w:p>
        </w:tc>
        <w:tc>
          <w:tcPr>
            <w:tcW w:w="1065"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-0.009</w:t>
            </w:r>
          </w:p>
        </w:tc>
        <w:tc>
          <w:tcPr>
            <w:tcW w:w="1112" w:type="dxa"/>
            <w:tcBorders>
              <w:top w:val="single" w:sz="4" w:space="0" w:color="00000A"/>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40%</w:t>
            </w:r>
          </w:p>
        </w:tc>
      </w:tr>
      <w:tr w:rsidR="00C251D6">
        <w:trPr>
          <w:cantSplit/>
          <w:jc w:val="center"/>
        </w:trPr>
        <w:tc>
          <w:tcPr>
            <w:tcW w:w="1094"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80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622"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962"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28"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977"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065"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c>
          <w:tcPr>
            <w:tcW w:w="1112"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jc w:val="center"/>
        </w:trPr>
        <w:tc>
          <w:tcPr>
            <w:tcW w:w="1094" w:type="dxa"/>
            <w:tcBorders>
              <w:top w:val="nil"/>
              <w:left w:val="nil"/>
              <w:bottom w:val="nil"/>
              <w:right w:val="nil"/>
            </w:tcBorders>
            <w:shd w:val="clear" w:color="auto" w:fill="FFFFFF"/>
          </w:tcPr>
          <w:p w:rsidR="00C251D6" w:rsidRDefault="00C251D6">
            <w:pPr>
              <w:spacing w:after="0"/>
              <w:rPr>
                <w:rFonts w:ascii="Times New Roman" w:hAnsi="Times New Roman" w:cs="Times New Roman"/>
              </w:rPr>
            </w:pPr>
          </w:p>
        </w:tc>
        <w:tc>
          <w:tcPr>
            <w:tcW w:w="1808" w:type="dxa"/>
            <w:tcBorders>
              <w:top w:val="nil"/>
              <w:left w:val="nil"/>
              <w:bottom w:val="nil"/>
              <w:right w:val="nil"/>
            </w:tcBorders>
            <w:shd w:val="clear" w:color="auto" w:fill="FFFFFF"/>
          </w:tcPr>
          <w:p w:rsidR="00C251D6" w:rsidRDefault="001C74F3">
            <w:pPr>
              <w:spacing w:after="0"/>
              <w:rPr>
                <w:rFonts w:ascii="Times New Roman" w:hAnsi="Times New Roman" w:cs="Times New Roman"/>
              </w:rPr>
            </w:pPr>
            <w:r>
              <w:rPr>
                <w:rFonts w:ascii="Times New Roman" w:hAnsi="Times New Roman" w:cs="Times New Roman"/>
              </w:rPr>
              <w:t>Wald-statistic</w:t>
            </w:r>
          </w:p>
        </w:tc>
        <w:tc>
          <w:tcPr>
            <w:tcW w:w="1622"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0.62</w:t>
            </w:r>
          </w:p>
        </w:tc>
        <w:tc>
          <w:tcPr>
            <w:tcW w:w="962"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0.31</w:t>
            </w:r>
          </w:p>
        </w:tc>
        <w:tc>
          <w:tcPr>
            <w:tcW w:w="1028"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0.34</w:t>
            </w:r>
          </w:p>
        </w:tc>
        <w:tc>
          <w:tcPr>
            <w:tcW w:w="977"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0.07</w:t>
            </w:r>
          </w:p>
        </w:tc>
        <w:tc>
          <w:tcPr>
            <w:tcW w:w="1065" w:type="dxa"/>
            <w:tcBorders>
              <w:top w:val="nil"/>
              <w:left w:val="nil"/>
              <w:bottom w:val="nil"/>
              <w:right w:val="nil"/>
            </w:tcBorders>
            <w:shd w:val="clear" w:color="auto" w:fill="FFFFFF"/>
          </w:tcPr>
          <w:p w:rsidR="00C251D6" w:rsidRDefault="001C74F3">
            <w:pPr>
              <w:spacing w:after="0"/>
              <w:jc w:val="center"/>
              <w:rPr>
                <w:rFonts w:ascii="Times New Roman" w:hAnsi="Times New Roman" w:cs="Times New Roman"/>
              </w:rPr>
            </w:pPr>
            <w:r>
              <w:rPr>
                <w:rFonts w:ascii="Times New Roman" w:hAnsi="Times New Roman" w:cs="Times New Roman"/>
              </w:rPr>
              <w:t>-0.03</w:t>
            </w:r>
          </w:p>
        </w:tc>
        <w:tc>
          <w:tcPr>
            <w:tcW w:w="1112" w:type="dxa"/>
            <w:tcBorders>
              <w:top w:val="nil"/>
              <w:left w:val="nil"/>
              <w:bottom w:val="nil"/>
              <w:right w:val="nil"/>
            </w:tcBorders>
            <w:shd w:val="clear" w:color="auto" w:fill="FFFFFF"/>
          </w:tcPr>
          <w:p w:rsidR="00C251D6" w:rsidRDefault="00C251D6">
            <w:pPr>
              <w:spacing w:after="0"/>
              <w:jc w:val="center"/>
              <w:rPr>
                <w:rFonts w:ascii="Times New Roman" w:hAnsi="Times New Roman" w:cs="Times New Roman"/>
              </w:rPr>
            </w:pPr>
          </w:p>
        </w:tc>
      </w:tr>
      <w:tr w:rsidR="00C251D6">
        <w:trPr>
          <w:cantSplit/>
          <w:jc w:val="center"/>
        </w:trPr>
        <w:tc>
          <w:tcPr>
            <w:tcW w:w="1094" w:type="dxa"/>
            <w:tcBorders>
              <w:top w:val="nil"/>
              <w:left w:val="nil"/>
              <w:bottom w:val="single" w:sz="4" w:space="0" w:color="00000A"/>
              <w:right w:val="nil"/>
            </w:tcBorders>
            <w:shd w:val="clear" w:color="auto" w:fill="FFFFFF"/>
          </w:tcPr>
          <w:p w:rsidR="00C251D6" w:rsidRDefault="00C251D6">
            <w:pPr>
              <w:spacing w:after="0"/>
              <w:rPr>
                <w:rFonts w:ascii="Times New Roman" w:hAnsi="Times New Roman" w:cs="Times New Roman"/>
              </w:rPr>
            </w:pPr>
          </w:p>
        </w:tc>
        <w:tc>
          <w:tcPr>
            <w:tcW w:w="1808"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622"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962"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028"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977"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065"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c>
          <w:tcPr>
            <w:tcW w:w="1112" w:type="dxa"/>
            <w:tcBorders>
              <w:top w:val="nil"/>
              <w:left w:val="nil"/>
              <w:bottom w:val="single" w:sz="4" w:space="0" w:color="00000A"/>
              <w:right w:val="nil"/>
            </w:tcBorders>
            <w:shd w:val="clear" w:color="auto" w:fill="FFFFFF"/>
          </w:tcPr>
          <w:p w:rsidR="00C251D6" w:rsidRDefault="00C251D6">
            <w:pPr>
              <w:spacing w:after="0"/>
              <w:jc w:val="center"/>
              <w:rPr>
                <w:rFonts w:ascii="Times New Roman" w:hAnsi="Times New Roman" w:cs="Times New Roman"/>
              </w:rPr>
            </w:pPr>
          </w:p>
        </w:tc>
      </w:tr>
    </w:tbl>
    <w:p w:rsidR="00C251D6" w:rsidRPr="00DB2000" w:rsidRDefault="00C251D6" w:rsidP="00DB2000">
      <w:pPr>
        <w:spacing w:line="360" w:lineRule="auto"/>
        <w:jc w:val="both"/>
        <w:rPr>
          <w:rFonts w:ascii="Times New Roman" w:hAnsi="Times New Roman" w:cs="Times New Roman"/>
          <w:sz w:val="24"/>
          <w:szCs w:val="24"/>
        </w:rPr>
      </w:pPr>
    </w:p>
    <w:p w:rsidR="00C251D6" w:rsidRPr="00DB2000" w:rsidRDefault="001C74F3"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 xml:space="preserve">The results show that the coefficient for positive dividend changes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1P</m:t>
            </m:r>
          </m:sub>
        </m:sSub>
      </m:oMath>
      <w:r w:rsidRPr="00DB2000">
        <w:rPr>
          <w:rFonts w:ascii="Times New Roman" w:hAnsi="Times New Roman" w:cs="Times New Roman"/>
          <w:sz w:val="24"/>
          <w:szCs w:val="24"/>
        </w:rPr>
        <w:t xml:space="preserve"> is equal to 0.020 and the coefficient for negative dividend change </w:t>
      </w:r>
      <m:oMath>
        <m:sSub>
          <m:sSubPr>
            <m:ctrlPr>
              <w:rPr>
                <w:rFonts w:ascii="Cambria Math" w:hAnsi="Cambria Math"/>
                <w:sz w:val="24"/>
                <w:szCs w:val="24"/>
              </w:rPr>
            </m:ctrlPr>
          </m:sSubPr>
          <m:e>
            <m:r>
              <w:rPr>
                <w:rFonts w:ascii="Cambria Math" w:hAnsi="Cambria Math"/>
                <w:sz w:val="24"/>
                <w:szCs w:val="24"/>
              </w:rPr>
              <m:t>β</m:t>
            </m:r>
          </m:e>
          <m:sub>
            <m:r>
              <w:rPr>
                <w:rFonts w:ascii="Cambria Math" w:hAnsi="Cambria Math"/>
                <w:sz w:val="24"/>
                <w:szCs w:val="24"/>
              </w:rPr>
              <m:t>1N</m:t>
            </m:r>
          </m:sub>
        </m:sSub>
      </m:oMath>
      <w:r w:rsidRPr="00DB2000">
        <w:rPr>
          <w:rFonts w:ascii="Times New Roman" w:hAnsi="Times New Roman" w:cs="Times New Roman"/>
          <w:sz w:val="24"/>
          <w:szCs w:val="24"/>
        </w:rPr>
        <w:t xml:space="preserve"> is equal to 0.089, both do not have statistical significance at 10%, at least. Although this result is not consistent with Nissim and Ziv (2000) and Grullon, Michaely, Benartzi, and Thaler (2005) where in their works have found a positive relationship (although weak) this is consistent with the final conclusion that there is no significant relationship between change in dividend and future earnings. For robustness check, </w:t>
      </w:r>
      <w:r w:rsidR="009C738B" w:rsidRPr="00DB2000">
        <w:rPr>
          <w:rFonts w:ascii="Times New Roman" w:hAnsi="Times New Roman" w:cs="Times New Roman"/>
          <w:sz w:val="24"/>
          <w:szCs w:val="24"/>
        </w:rPr>
        <w:t>[RESULTS REQUIRED]</w:t>
      </w:r>
      <w:r w:rsidRPr="00DB2000">
        <w:rPr>
          <w:rFonts w:ascii="Times New Roman" w:hAnsi="Times New Roman" w:cs="Times New Roman"/>
          <w:sz w:val="24"/>
          <w:szCs w:val="24"/>
        </w:rPr>
        <w:t xml:space="preserve"> we divide our sample in three periods (2002 – 2007, 2008 – 2009 and 2010 – 2013) and carry out the same analysis, the results did not show significant changes with the results reported.</w:t>
      </w:r>
    </w:p>
    <w:p w:rsidR="00C251D6" w:rsidRPr="00DB2000" w:rsidRDefault="001C74F3" w:rsidP="00DB2000">
      <w:pPr>
        <w:spacing w:line="360" w:lineRule="auto"/>
        <w:jc w:val="center"/>
        <w:rPr>
          <w:rFonts w:ascii="Times New Roman" w:hAnsi="Times New Roman" w:cs="Times New Roman"/>
          <w:b/>
          <w:bCs/>
          <w:sz w:val="24"/>
          <w:szCs w:val="24"/>
        </w:rPr>
      </w:pPr>
      <w:r w:rsidRPr="00DB2000">
        <w:rPr>
          <w:rFonts w:ascii="Times New Roman" w:hAnsi="Times New Roman" w:cs="Times New Roman"/>
          <w:b/>
          <w:bCs/>
          <w:sz w:val="24"/>
          <w:szCs w:val="24"/>
        </w:rPr>
        <w:t>MORE DETAILS IN PROGRESS</w:t>
      </w:r>
    </w:p>
    <w:p w:rsidR="00C251D6" w:rsidRPr="00DB2000" w:rsidRDefault="001C74F3" w:rsidP="00DB2000">
      <w:pPr>
        <w:pageBreakBefore/>
        <w:spacing w:line="360" w:lineRule="auto"/>
        <w:jc w:val="center"/>
        <w:rPr>
          <w:rFonts w:ascii="Times New Roman" w:hAnsi="Times New Roman" w:cs="Times New Roman"/>
          <w:b/>
          <w:sz w:val="24"/>
          <w:szCs w:val="24"/>
        </w:rPr>
      </w:pPr>
      <w:r w:rsidRPr="00DB2000">
        <w:rPr>
          <w:rFonts w:ascii="Times New Roman" w:hAnsi="Times New Roman" w:cs="Times New Roman"/>
          <w:b/>
          <w:sz w:val="24"/>
          <w:szCs w:val="24"/>
        </w:rPr>
        <w:lastRenderedPageBreak/>
        <w:t>CONCLUSIONS</w:t>
      </w:r>
    </w:p>
    <w:p w:rsidR="00C251D6" w:rsidRPr="00DB2000" w:rsidRDefault="00C43B8E"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ab/>
      </w:r>
      <w:r w:rsidR="001C74F3" w:rsidRPr="00DB2000">
        <w:rPr>
          <w:rFonts w:ascii="Times New Roman" w:hAnsi="Times New Roman" w:cs="Times New Roman"/>
          <w:sz w:val="24"/>
          <w:szCs w:val="24"/>
        </w:rPr>
        <w:t>The Mining industry is a very important sector as a source of income for developing countries. According to the last</w:t>
      </w:r>
      <w:r w:rsidR="005A54F6" w:rsidRPr="00DB2000">
        <w:rPr>
          <w:rFonts w:ascii="Times New Roman" w:hAnsi="Times New Roman" w:cs="Times New Roman"/>
          <w:sz w:val="24"/>
          <w:szCs w:val="24"/>
        </w:rPr>
        <w:t xml:space="preserve"> Pricewaterhouse</w:t>
      </w:r>
      <w:r w:rsidR="001C74F3" w:rsidRPr="00DB2000">
        <w:rPr>
          <w:rFonts w:ascii="Times New Roman" w:hAnsi="Times New Roman" w:cs="Times New Roman"/>
          <w:sz w:val="24"/>
          <w:szCs w:val="24"/>
        </w:rPr>
        <w:t xml:space="preserve">Coopers report, this sector is experiencing a crisis of confidence that generated </w:t>
      </w:r>
      <w:r w:rsidR="00B111B2" w:rsidRPr="00DB2000">
        <w:rPr>
          <w:rFonts w:ascii="Times New Roman" w:hAnsi="Times New Roman" w:cs="Times New Roman"/>
          <w:sz w:val="24"/>
          <w:szCs w:val="24"/>
        </w:rPr>
        <w:t xml:space="preserve">changes in </w:t>
      </w:r>
      <w:r w:rsidR="001C74F3" w:rsidRPr="00DB2000">
        <w:rPr>
          <w:rFonts w:ascii="Times New Roman" w:hAnsi="Times New Roman" w:cs="Times New Roman"/>
          <w:sz w:val="24"/>
          <w:szCs w:val="24"/>
        </w:rPr>
        <w:t>corporate strategies pressured by stockholders</w:t>
      </w:r>
      <w:r w:rsidR="0007753D" w:rsidRPr="00DB2000">
        <w:rPr>
          <w:rFonts w:ascii="Times New Roman" w:hAnsi="Times New Roman" w:cs="Times New Roman"/>
          <w:sz w:val="24"/>
          <w:szCs w:val="24"/>
        </w:rPr>
        <w:t xml:space="preserve">.  </w:t>
      </w:r>
      <w:r w:rsidR="001C74F3" w:rsidRPr="00DB2000">
        <w:rPr>
          <w:rFonts w:ascii="Times New Roman" w:hAnsi="Times New Roman" w:cs="Times New Roman"/>
          <w:sz w:val="24"/>
          <w:szCs w:val="24"/>
        </w:rPr>
        <w:t xml:space="preserve">In this paper we have analyzed </w:t>
      </w:r>
      <w:r w:rsidR="0007753D" w:rsidRPr="00DB2000">
        <w:rPr>
          <w:rFonts w:ascii="Times New Roman" w:hAnsi="Times New Roman" w:cs="Times New Roman"/>
          <w:sz w:val="24"/>
          <w:szCs w:val="24"/>
        </w:rPr>
        <w:t>the dividend payout policy</w:t>
      </w:r>
      <w:r w:rsidR="001C74F3" w:rsidRPr="00DB2000">
        <w:rPr>
          <w:rFonts w:ascii="Times New Roman" w:hAnsi="Times New Roman" w:cs="Times New Roman"/>
          <w:sz w:val="24"/>
          <w:szCs w:val="24"/>
        </w:rPr>
        <w:t xml:space="preserve"> in light of corporate finance theories related </w:t>
      </w:r>
      <w:r w:rsidR="00B111B2" w:rsidRPr="00DB2000">
        <w:rPr>
          <w:rFonts w:ascii="Times New Roman" w:hAnsi="Times New Roman" w:cs="Times New Roman"/>
          <w:sz w:val="24"/>
          <w:szCs w:val="24"/>
        </w:rPr>
        <w:t>to why companies pay dividends. A</w:t>
      </w:r>
      <w:r w:rsidR="001C74F3" w:rsidRPr="00DB2000">
        <w:rPr>
          <w:rFonts w:ascii="Times New Roman" w:hAnsi="Times New Roman" w:cs="Times New Roman"/>
          <w:sz w:val="24"/>
          <w:szCs w:val="24"/>
        </w:rPr>
        <w:t xml:space="preserve">lthough there is no </w:t>
      </w:r>
      <w:r w:rsidR="00B111B2" w:rsidRPr="00DB2000">
        <w:rPr>
          <w:rFonts w:ascii="Times New Roman" w:hAnsi="Times New Roman" w:cs="Times New Roman"/>
          <w:sz w:val="24"/>
          <w:szCs w:val="24"/>
        </w:rPr>
        <w:t>clear</w:t>
      </w:r>
      <w:r w:rsidR="001C74F3" w:rsidRPr="00DB2000">
        <w:rPr>
          <w:rFonts w:ascii="Times New Roman" w:hAnsi="Times New Roman" w:cs="Times New Roman"/>
          <w:sz w:val="24"/>
          <w:szCs w:val="24"/>
        </w:rPr>
        <w:t xml:space="preserve"> consensus</w:t>
      </w:r>
      <w:r w:rsidR="00B111B2" w:rsidRPr="00DB2000">
        <w:rPr>
          <w:rFonts w:ascii="Times New Roman" w:hAnsi="Times New Roman" w:cs="Times New Roman"/>
          <w:sz w:val="24"/>
          <w:szCs w:val="24"/>
        </w:rPr>
        <w:t xml:space="preserve"> in general</w:t>
      </w:r>
      <w:r w:rsidR="001C74F3" w:rsidRPr="00DB2000">
        <w:rPr>
          <w:rFonts w:ascii="Times New Roman" w:hAnsi="Times New Roman" w:cs="Times New Roman"/>
          <w:sz w:val="24"/>
          <w:szCs w:val="24"/>
        </w:rPr>
        <w:t>,</w:t>
      </w:r>
      <w:r w:rsidR="00905B74" w:rsidRPr="00DB2000">
        <w:rPr>
          <w:rFonts w:ascii="Times New Roman" w:hAnsi="Times New Roman" w:cs="Times New Roman"/>
          <w:sz w:val="24"/>
          <w:szCs w:val="24"/>
        </w:rPr>
        <w:t xml:space="preserve"> </w:t>
      </w:r>
      <w:r w:rsidR="001C74F3" w:rsidRPr="00DB2000">
        <w:rPr>
          <w:rFonts w:ascii="Times New Roman" w:hAnsi="Times New Roman" w:cs="Times New Roman"/>
          <w:sz w:val="24"/>
          <w:szCs w:val="24"/>
        </w:rPr>
        <w:t xml:space="preserve">this analysis </w:t>
      </w:r>
      <w:r w:rsidR="00B111B2" w:rsidRPr="00DB2000">
        <w:rPr>
          <w:rFonts w:ascii="Times New Roman" w:hAnsi="Times New Roman" w:cs="Times New Roman"/>
          <w:sz w:val="24"/>
          <w:szCs w:val="24"/>
        </w:rPr>
        <w:t>aims</w:t>
      </w:r>
      <w:r w:rsidR="001C74F3" w:rsidRPr="00DB2000">
        <w:rPr>
          <w:rFonts w:ascii="Times New Roman" w:hAnsi="Times New Roman" w:cs="Times New Roman"/>
          <w:sz w:val="24"/>
          <w:szCs w:val="24"/>
        </w:rPr>
        <w:t xml:space="preserve"> to shed light on which theories </w:t>
      </w:r>
      <w:r w:rsidR="00B111B2" w:rsidRPr="00DB2000">
        <w:rPr>
          <w:rFonts w:ascii="Times New Roman" w:hAnsi="Times New Roman" w:cs="Times New Roman"/>
          <w:sz w:val="24"/>
          <w:szCs w:val="24"/>
        </w:rPr>
        <w:t>apply</w:t>
      </w:r>
      <w:r w:rsidR="00905B74" w:rsidRPr="00DB2000">
        <w:rPr>
          <w:rFonts w:ascii="Times New Roman" w:hAnsi="Times New Roman" w:cs="Times New Roman"/>
          <w:sz w:val="24"/>
          <w:szCs w:val="24"/>
        </w:rPr>
        <w:t xml:space="preserve"> </w:t>
      </w:r>
      <w:r w:rsidR="00B111B2" w:rsidRPr="00DB2000">
        <w:rPr>
          <w:rFonts w:ascii="Times New Roman" w:hAnsi="Times New Roman" w:cs="Times New Roman"/>
          <w:sz w:val="24"/>
          <w:szCs w:val="24"/>
        </w:rPr>
        <w:t>to the mining sector</w:t>
      </w:r>
      <w:r w:rsidR="001C74F3" w:rsidRPr="00DB2000">
        <w:rPr>
          <w:rFonts w:ascii="Times New Roman" w:hAnsi="Times New Roman" w:cs="Times New Roman"/>
          <w:sz w:val="24"/>
          <w:szCs w:val="24"/>
        </w:rPr>
        <w:t>. The</w:t>
      </w:r>
      <w:r w:rsidR="00905B74" w:rsidRPr="00DB2000">
        <w:rPr>
          <w:rFonts w:ascii="Times New Roman" w:hAnsi="Times New Roman" w:cs="Times New Roman"/>
          <w:sz w:val="24"/>
          <w:szCs w:val="24"/>
        </w:rPr>
        <w:t xml:space="preserve"> </w:t>
      </w:r>
      <w:r w:rsidR="001C74F3" w:rsidRPr="00DB2000">
        <w:rPr>
          <w:rFonts w:ascii="Times New Roman" w:hAnsi="Times New Roman" w:cs="Times New Roman"/>
          <w:sz w:val="24"/>
          <w:szCs w:val="24"/>
        </w:rPr>
        <w:t xml:space="preserve">model that we evaluate is the </w:t>
      </w:r>
      <w:r w:rsidR="000D2312" w:rsidRPr="00DB2000">
        <w:rPr>
          <w:rFonts w:ascii="Times New Roman" w:hAnsi="Times New Roman" w:cs="Times New Roman"/>
          <w:sz w:val="24"/>
          <w:szCs w:val="24"/>
        </w:rPr>
        <w:t>signaling hypothesis</w:t>
      </w:r>
      <w:r w:rsidR="001C74F3" w:rsidRPr="00DB2000">
        <w:rPr>
          <w:rFonts w:ascii="Times New Roman" w:hAnsi="Times New Roman" w:cs="Times New Roman"/>
          <w:sz w:val="24"/>
          <w:szCs w:val="24"/>
        </w:rPr>
        <w:t xml:space="preserve"> in its controversial version</w:t>
      </w:r>
      <w:r w:rsidR="000D2312" w:rsidRPr="00DB2000">
        <w:rPr>
          <w:rFonts w:ascii="Times New Roman" w:hAnsi="Times New Roman" w:cs="Times New Roman"/>
          <w:sz w:val="24"/>
          <w:szCs w:val="24"/>
        </w:rPr>
        <w:t>, namely,</w:t>
      </w:r>
      <w:r w:rsidR="001C74F3" w:rsidRPr="00DB2000">
        <w:rPr>
          <w:rFonts w:ascii="Times New Roman" w:hAnsi="Times New Roman" w:cs="Times New Roman"/>
          <w:sz w:val="24"/>
          <w:szCs w:val="24"/>
        </w:rPr>
        <w:t xml:space="preserve"> whether changes in dividends generate positive changes in future earnings. </w:t>
      </w:r>
      <w:r w:rsidR="008C51D3" w:rsidRPr="00DB2000">
        <w:rPr>
          <w:rFonts w:ascii="Times New Roman" w:hAnsi="Times New Roman" w:cs="Times New Roman"/>
          <w:sz w:val="24"/>
          <w:szCs w:val="24"/>
        </w:rPr>
        <w:t>We</w:t>
      </w:r>
      <w:r w:rsidR="001C74F3" w:rsidRPr="00DB2000">
        <w:rPr>
          <w:rFonts w:ascii="Times New Roman" w:hAnsi="Times New Roman" w:cs="Times New Roman"/>
          <w:sz w:val="24"/>
          <w:szCs w:val="24"/>
        </w:rPr>
        <w:t xml:space="preserve"> confirm</w:t>
      </w:r>
      <w:r w:rsidR="000D2312" w:rsidRPr="00DB2000">
        <w:rPr>
          <w:rFonts w:ascii="Times New Roman" w:hAnsi="Times New Roman" w:cs="Times New Roman"/>
          <w:sz w:val="24"/>
          <w:szCs w:val="24"/>
        </w:rPr>
        <w:t xml:space="preserve"> the crisis of confidence in the Mining industry</w:t>
      </w:r>
      <w:r w:rsidR="008C51D3" w:rsidRPr="00DB2000">
        <w:rPr>
          <w:rFonts w:ascii="Times New Roman" w:hAnsi="Times New Roman" w:cs="Times New Roman"/>
          <w:sz w:val="24"/>
          <w:szCs w:val="24"/>
        </w:rPr>
        <w:t>,</w:t>
      </w:r>
      <w:r w:rsidR="000D2312" w:rsidRPr="00DB2000">
        <w:rPr>
          <w:rFonts w:ascii="Times New Roman" w:hAnsi="Times New Roman" w:cs="Times New Roman"/>
          <w:sz w:val="24"/>
          <w:szCs w:val="24"/>
        </w:rPr>
        <w:t xml:space="preserve"> including </w:t>
      </w:r>
      <w:r w:rsidR="001C74F3" w:rsidRPr="00DB2000">
        <w:rPr>
          <w:rFonts w:ascii="Times New Roman" w:hAnsi="Times New Roman" w:cs="Times New Roman"/>
          <w:sz w:val="24"/>
          <w:szCs w:val="24"/>
        </w:rPr>
        <w:t>reduction</w:t>
      </w:r>
      <w:r w:rsidR="000D2312" w:rsidRPr="00DB2000">
        <w:rPr>
          <w:rFonts w:ascii="Times New Roman" w:hAnsi="Times New Roman" w:cs="Times New Roman"/>
          <w:sz w:val="24"/>
          <w:szCs w:val="24"/>
        </w:rPr>
        <w:t>s</w:t>
      </w:r>
      <w:r w:rsidR="00905B74" w:rsidRPr="00DB2000">
        <w:rPr>
          <w:rFonts w:ascii="Times New Roman" w:hAnsi="Times New Roman" w:cs="Times New Roman"/>
          <w:sz w:val="24"/>
          <w:szCs w:val="24"/>
        </w:rPr>
        <w:t xml:space="preserve"> </w:t>
      </w:r>
      <w:r w:rsidR="000D2312" w:rsidRPr="00DB2000">
        <w:rPr>
          <w:rFonts w:ascii="Times New Roman" w:hAnsi="Times New Roman" w:cs="Times New Roman"/>
          <w:sz w:val="24"/>
          <w:szCs w:val="24"/>
        </w:rPr>
        <w:t>in</w:t>
      </w:r>
      <w:r w:rsidR="001C74F3" w:rsidRPr="00DB2000">
        <w:rPr>
          <w:rFonts w:ascii="Times New Roman" w:hAnsi="Times New Roman" w:cs="Times New Roman"/>
          <w:sz w:val="24"/>
          <w:szCs w:val="24"/>
        </w:rPr>
        <w:t xml:space="preserve"> share prices, ma</w:t>
      </w:r>
      <w:r w:rsidR="000D2312" w:rsidRPr="00DB2000">
        <w:rPr>
          <w:rFonts w:ascii="Times New Roman" w:hAnsi="Times New Roman" w:cs="Times New Roman"/>
          <w:sz w:val="24"/>
          <w:szCs w:val="24"/>
        </w:rPr>
        <w:t xml:space="preserve">rket to book levels, </w:t>
      </w:r>
      <w:r w:rsidR="008C51D3" w:rsidRPr="00DB2000">
        <w:rPr>
          <w:rFonts w:ascii="Times New Roman" w:hAnsi="Times New Roman" w:cs="Times New Roman"/>
          <w:sz w:val="24"/>
          <w:szCs w:val="24"/>
        </w:rPr>
        <w:t xml:space="preserve">and </w:t>
      </w:r>
      <w:r w:rsidR="000D2312" w:rsidRPr="00DB2000">
        <w:rPr>
          <w:rFonts w:ascii="Times New Roman" w:hAnsi="Times New Roman" w:cs="Times New Roman"/>
          <w:sz w:val="24"/>
          <w:szCs w:val="24"/>
        </w:rPr>
        <w:t>investmen</w:t>
      </w:r>
      <w:r w:rsidR="008C51D3" w:rsidRPr="00DB2000">
        <w:rPr>
          <w:rFonts w:ascii="Times New Roman" w:hAnsi="Times New Roman" w:cs="Times New Roman"/>
          <w:sz w:val="24"/>
          <w:szCs w:val="24"/>
        </w:rPr>
        <w:t xml:space="preserve">t, is </w:t>
      </w:r>
      <w:r w:rsidR="000D2312" w:rsidRPr="00DB2000">
        <w:rPr>
          <w:rFonts w:ascii="Times New Roman" w:hAnsi="Times New Roman" w:cs="Times New Roman"/>
          <w:sz w:val="24"/>
          <w:szCs w:val="24"/>
        </w:rPr>
        <w:t xml:space="preserve">coincident with increases in dividends. </w:t>
      </w:r>
      <w:r w:rsidR="008C51D3" w:rsidRPr="00DB2000">
        <w:rPr>
          <w:rFonts w:ascii="Times New Roman" w:hAnsi="Times New Roman" w:cs="Times New Roman"/>
          <w:sz w:val="24"/>
          <w:szCs w:val="24"/>
        </w:rPr>
        <w:t>In addition, i</w:t>
      </w:r>
      <w:r w:rsidR="00D622C9" w:rsidRPr="00DB2000">
        <w:rPr>
          <w:rFonts w:ascii="Times New Roman" w:hAnsi="Times New Roman" w:cs="Times New Roman"/>
          <w:sz w:val="24"/>
          <w:szCs w:val="24"/>
        </w:rPr>
        <w:t>n the l</w:t>
      </w:r>
      <w:r w:rsidR="001C74F3" w:rsidRPr="00DB2000">
        <w:rPr>
          <w:rFonts w:ascii="Times New Roman" w:hAnsi="Times New Roman" w:cs="Times New Roman"/>
          <w:sz w:val="24"/>
          <w:szCs w:val="24"/>
        </w:rPr>
        <w:t>ast period of analysis that span</w:t>
      </w:r>
      <w:r w:rsidR="00D622C9" w:rsidRPr="00DB2000">
        <w:rPr>
          <w:rFonts w:ascii="Times New Roman" w:hAnsi="Times New Roman" w:cs="Times New Roman"/>
          <w:sz w:val="24"/>
          <w:szCs w:val="24"/>
        </w:rPr>
        <w:t>s</w:t>
      </w:r>
      <w:r w:rsidR="001C74F3" w:rsidRPr="00DB2000">
        <w:rPr>
          <w:rFonts w:ascii="Times New Roman" w:hAnsi="Times New Roman" w:cs="Times New Roman"/>
          <w:sz w:val="24"/>
          <w:szCs w:val="24"/>
        </w:rPr>
        <w:t xml:space="preserve"> 2010 to 2013, a robustness check that includ</w:t>
      </w:r>
      <w:r w:rsidR="00D622C9" w:rsidRPr="00DB2000">
        <w:rPr>
          <w:rFonts w:ascii="Times New Roman" w:hAnsi="Times New Roman" w:cs="Times New Roman"/>
          <w:sz w:val="24"/>
          <w:szCs w:val="24"/>
        </w:rPr>
        <w:t>es</w:t>
      </w:r>
      <w:r w:rsidR="001C74F3" w:rsidRPr="00DB2000">
        <w:rPr>
          <w:rFonts w:ascii="Times New Roman" w:hAnsi="Times New Roman" w:cs="Times New Roman"/>
          <w:sz w:val="24"/>
          <w:szCs w:val="24"/>
        </w:rPr>
        <w:t xml:space="preserve"> a group of mining companies</w:t>
      </w:r>
      <w:r w:rsidR="008C51D3" w:rsidRPr="00DB2000">
        <w:rPr>
          <w:rFonts w:ascii="Times New Roman" w:hAnsi="Times New Roman" w:cs="Times New Roman"/>
          <w:sz w:val="24"/>
          <w:szCs w:val="24"/>
        </w:rPr>
        <w:t xml:space="preserve"> including gold companies</w:t>
      </w:r>
      <w:r w:rsidR="001C74F3" w:rsidRPr="00DB2000">
        <w:rPr>
          <w:rFonts w:ascii="Times New Roman" w:hAnsi="Times New Roman" w:cs="Times New Roman"/>
          <w:sz w:val="24"/>
          <w:szCs w:val="24"/>
        </w:rPr>
        <w:t xml:space="preserve"> and its derivatives</w:t>
      </w:r>
      <w:r w:rsidR="008C51D3" w:rsidRPr="00DB2000">
        <w:rPr>
          <w:rFonts w:ascii="Times New Roman" w:hAnsi="Times New Roman" w:cs="Times New Roman"/>
          <w:sz w:val="24"/>
          <w:szCs w:val="24"/>
        </w:rPr>
        <w:t xml:space="preserve"> is shown to</w:t>
      </w:r>
      <w:r w:rsidR="001C74F3" w:rsidRPr="00DB2000">
        <w:rPr>
          <w:rFonts w:ascii="Times New Roman" w:hAnsi="Times New Roman" w:cs="Times New Roman"/>
          <w:sz w:val="24"/>
          <w:szCs w:val="24"/>
        </w:rPr>
        <w:t xml:space="preserve"> yield the same trend in the results. </w:t>
      </w:r>
    </w:p>
    <w:p w:rsidR="00C251D6" w:rsidRPr="00DB2000" w:rsidRDefault="00C43B8E"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ab/>
      </w:r>
      <w:r w:rsidR="001C74F3" w:rsidRPr="00DB2000">
        <w:rPr>
          <w:rFonts w:ascii="Times New Roman" w:hAnsi="Times New Roman" w:cs="Times New Roman"/>
          <w:sz w:val="24"/>
          <w:szCs w:val="24"/>
        </w:rPr>
        <w:t>Taking into account the paper</w:t>
      </w:r>
      <w:r w:rsidR="0006007D" w:rsidRPr="00DB2000">
        <w:rPr>
          <w:rFonts w:ascii="Times New Roman" w:hAnsi="Times New Roman" w:cs="Times New Roman"/>
          <w:sz w:val="24"/>
          <w:szCs w:val="24"/>
        </w:rPr>
        <w:t>s</w:t>
      </w:r>
      <w:r w:rsidR="001C74F3" w:rsidRPr="00DB2000">
        <w:rPr>
          <w:rFonts w:ascii="Times New Roman" w:hAnsi="Times New Roman" w:cs="Times New Roman"/>
          <w:sz w:val="24"/>
          <w:szCs w:val="24"/>
        </w:rPr>
        <w:t xml:space="preserve"> of Nissim and Ziv (2001) and Grullo</w:t>
      </w:r>
      <w:r w:rsidR="007B0B87" w:rsidRPr="00DB2000">
        <w:rPr>
          <w:rFonts w:ascii="Times New Roman" w:hAnsi="Times New Roman" w:cs="Times New Roman"/>
          <w:sz w:val="24"/>
          <w:szCs w:val="24"/>
        </w:rPr>
        <w:t>n et al. (2005), we carry out a</w:t>
      </w:r>
      <w:r w:rsidR="001C74F3" w:rsidRPr="00DB2000">
        <w:rPr>
          <w:rFonts w:ascii="Times New Roman" w:hAnsi="Times New Roman" w:cs="Times New Roman"/>
          <w:sz w:val="24"/>
          <w:szCs w:val="24"/>
        </w:rPr>
        <w:t xml:space="preserve"> regression analysis to determine the relat</w:t>
      </w:r>
      <w:r w:rsidR="007B0B87" w:rsidRPr="00DB2000">
        <w:rPr>
          <w:rFonts w:ascii="Times New Roman" w:hAnsi="Times New Roman" w:cs="Times New Roman"/>
          <w:sz w:val="24"/>
          <w:szCs w:val="24"/>
        </w:rPr>
        <w:t>ionship between the changes in</w:t>
      </w:r>
      <w:r w:rsidR="001C74F3" w:rsidRPr="00DB2000">
        <w:rPr>
          <w:rFonts w:ascii="Times New Roman" w:hAnsi="Times New Roman" w:cs="Times New Roman"/>
          <w:sz w:val="24"/>
          <w:szCs w:val="24"/>
        </w:rPr>
        <w:t xml:space="preserve"> dividend payouts and future earnings. We take EBIDTA as a proxy for earnings and the annual variation of the previous year for dividends. The equation is complemented with ROA and the initial EBIDTA for controlling the mean reversion trend in the data</w:t>
      </w:r>
      <w:r w:rsidR="00F10E7D" w:rsidRPr="00DB2000">
        <w:rPr>
          <w:rFonts w:ascii="Times New Roman" w:hAnsi="Times New Roman" w:cs="Times New Roman"/>
          <w:sz w:val="24"/>
          <w:szCs w:val="24"/>
        </w:rPr>
        <w:t>.  Our</w:t>
      </w:r>
      <w:r w:rsidR="001C74F3" w:rsidRPr="00DB2000">
        <w:rPr>
          <w:rFonts w:ascii="Times New Roman" w:hAnsi="Times New Roman" w:cs="Times New Roman"/>
          <w:sz w:val="24"/>
          <w:szCs w:val="24"/>
        </w:rPr>
        <w:t xml:space="preserve"> results are </w:t>
      </w:r>
      <w:r w:rsidR="00AB2919" w:rsidRPr="00DB2000">
        <w:rPr>
          <w:rFonts w:ascii="Times New Roman" w:hAnsi="Times New Roman" w:cs="Times New Roman"/>
          <w:sz w:val="24"/>
          <w:szCs w:val="24"/>
        </w:rPr>
        <w:t xml:space="preserve">the </w:t>
      </w:r>
      <w:r w:rsidR="001C74F3" w:rsidRPr="00DB2000">
        <w:rPr>
          <w:rFonts w:ascii="Times New Roman" w:hAnsi="Times New Roman" w:cs="Times New Roman"/>
          <w:sz w:val="24"/>
          <w:szCs w:val="24"/>
        </w:rPr>
        <w:t>opposite</w:t>
      </w:r>
      <w:r w:rsidR="00905B74" w:rsidRPr="00DB2000">
        <w:rPr>
          <w:rFonts w:ascii="Times New Roman" w:hAnsi="Times New Roman" w:cs="Times New Roman"/>
          <w:sz w:val="24"/>
          <w:szCs w:val="24"/>
        </w:rPr>
        <w:t xml:space="preserve"> </w:t>
      </w:r>
      <w:r w:rsidR="00F10E7D" w:rsidRPr="00DB2000">
        <w:rPr>
          <w:rFonts w:ascii="Times New Roman" w:hAnsi="Times New Roman" w:cs="Times New Roman"/>
          <w:sz w:val="24"/>
          <w:szCs w:val="24"/>
        </w:rPr>
        <w:t xml:space="preserve">to </w:t>
      </w:r>
      <w:r w:rsidR="00AB2919" w:rsidRPr="00DB2000">
        <w:rPr>
          <w:rFonts w:ascii="Times New Roman" w:hAnsi="Times New Roman" w:cs="Times New Roman"/>
          <w:sz w:val="24"/>
          <w:szCs w:val="24"/>
        </w:rPr>
        <w:t xml:space="preserve">of those of </w:t>
      </w:r>
      <w:r w:rsidR="001C74F3" w:rsidRPr="00DB2000">
        <w:rPr>
          <w:rFonts w:ascii="Times New Roman" w:hAnsi="Times New Roman" w:cs="Times New Roman"/>
          <w:sz w:val="24"/>
          <w:szCs w:val="24"/>
        </w:rPr>
        <w:t>Nissim and Ziv (2001) but in accordance with Grullon et al. (2005).</w:t>
      </w:r>
      <w:r w:rsidR="007C1DFA" w:rsidRPr="00DB2000">
        <w:rPr>
          <w:rFonts w:ascii="Times New Roman" w:hAnsi="Times New Roman" w:cs="Times New Roman"/>
          <w:sz w:val="24"/>
          <w:szCs w:val="24"/>
        </w:rPr>
        <w:t>Between the years</w:t>
      </w:r>
      <w:r w:rsidR="001C74F3" w:rsidRPr="00DB2000">
        <w:rPr>
          <w:rFonts w:ascii="Times New Roman" w:hAnsi="Times New Roman" w:cs="Times New Roman"/>
          <w:sz w:val="24"/>
          <w:szCs w:val="24"/>
        </w:rPr>
        <w:t xml:space="preserve"> 200</w:t>
      </w:r>
      <w:r w:rsidR="001F2E61" w:rsidRPr="00DB2000">
        <w:rPr>
          <w:rFonts w:ascii="Times New Roman" w:hAnsi="Times New Roman" w:cs="Times New Roman"/>
          <w:sz w:val="24"/>
          <w:szCs w:val="24"/>
        </w:rPr>
        <w:t>2</w:t>
      </w:r>
      <w:r w:rsidR="001C74F3" w:rsidRPr="00DB2000">
        <w:rPr>
          <w:rFonts w:ascii="Times New Roman" w:hAnsi="Times New Roman" w:cs="Times New Roman"/>
          <w:sz w:val="24"/>
          <w:szCs w:val="24"/>
        </w:rPr>
        <w:t xml:space="preserve"> to 2013</w:t>
      </w:r>
      <w:r w:rsidR="00C13696" w:rsidRPr="00DB2000">
        <w:rPr>
          <w:rFonts w:ascii="Times New Roman" w:hAnsi="Times New Roman" w:cs="Times New Roman"/>
          <w:sz w:val="24"/>
          <w:szCs w:val="24"/>
        </w:rPr>
        <w:t>,</w:t>
      </w:r>
      <w:r w:rsidR="001C74F3" w:rsidRPr="00DB2000">
        <w:rPr>
          <w:rFonts w:ascii="Times New Roman" w:hAnsi="Times New Roman" w:cs="Times New Roman"/>
          <w:sz w:val="24"/>
          <w:szCs w:val="24"/>
        </w:rPr>
        <w:t xml:space="preserve"> positive earnings changes are correlated </w:t>
      </w:r>
      <w:r w:rsidR="0006007D" w:rsidRPr="00DB2000">
        <w:rPr>
          <w:rFonts w:ascii="Times New Roman" w:hAnsi="Times New Roman" w:cs="Times New Roman"/>
          <w:sz w:val="24"/>
          <w:szCs w:val="24"/>
        </w:rPr>
        <w:t>with</w:t>
      </w:r>
      <w:r w:rsidR="00905B74" w:rsidRPr="00DB2000">
        <w:rPr>
          <w:rFonts w:ascii="Times New Roman" w:hAnsi="Times New Roman" w:cs="Times New Roman"/>
          <w:sz w:val="24"/>
          <w:szCs w:val="24"/>
        </w:rPr>
        <w:t xml:space="preserve"> </w:t>
      </w:r>
      <w:r w:rsidR="0006007D" w:rsidRPr="00DB2000">
        <w:rPr>
          <w:rFonts w:ascii="Times New Roman" w:hAnsi="Times New Roman" w:cs="Times New Roman"/>
          <w:sz w:val="24"/>
          <w:szCs w:val="24"/>
        </w:rPr>
        <w:t>negative dividend change</w:t>
      </w:r>
      <w:r w:rsidR="00C13696" w:rsidRPr="00DB2000">
        <w:rPr>
          <w:rFonts w:ascii="Times New Roman" w:hAnsi="Times New Roman" w:cs="Times New Roman"/>
          <w:sz w:val="24"/>
          <w:szCs w:val="24"/>
        </w:rPr>
        <w:t>s</w:t>
      </w:r>
      <w:r w:rsidR="0006007D" w:rsidRPr="00DB2000">
        <w:rPr>
          <w:rFonts w:ascii="Times New Roman" w:hAnsi="Times New Roman" w:cs="Times New Roman"/>
          <w:sz w:val="24"/>
          <w:szCs w:val="24"/>
        </w:rPr>
        <w:t>. T</w:t>
      </w:r>
      <w:r w:rsidR="001C74F3" w:rsidRPr="00DB2000">
        <w:rPr>
          <w:rFonts w:ascii="Times New Roman" w:hAnsi="Times New Roman" w:cs="Times New Roman"/>
          <w:sz w:val="24"/>
          <w:szCs w:val="24"/>
        </w:rPr>
        <w:t>his result is congruent with Bernatzi et al (1997). Therefore, for the mining companies from 2002 to 2013, there is no positive correlation between future earnings and changes in dividend payout policy.</w:t>
      </w:r>
    </w:p>
    <w:p w:rsidR="00C251D6" w:rsidRPr="00DB2000" w:rsidRDefault="000741B5" w:rsidP="00DB2000">
      <w:pPr>
        <w:spacing w:line="360" w:lineRule="auto"/>
        <w:jc w:val="both"/>
        <w:rPr>
          <w:rFonts w:ascii="Times New Roman" w:hAnsi="Times New Roman" w:cs="Times New Roman"/>
          <w:sz w:val="24"/>
          <w:szCs w:val="24"/>
        </w:rPr>
      </w:pPr>
      <w:r w:rsidRPr="00DB2000">
        <w:rPr>
          <w:rFonts w:ascii="Times New Roman" w:hAnsi="Times New Roman" w:cs="Times New Roman"/>
          <w:sz w:val="24"/>
          <w:szCs w:val="24"/>
        </w:rPr>
        <w:tab/>
      </w:r>
      <w:r w:rsidR="001C74F3" w:rsidRPr="00DB2000">
        <w:rPr>
          <w:rFonts w:ascii="Times New Roman" w:hAnsi="Times New Roman" w:cs="Times New Roman"/>
          <w:sz w:val="24"/>
          <w:szCs w:val="24"/>
        </w:rPr>
        <w:t>It remains to</w:t>
      </w:r>
      <w:r w:rsidRPr="00DB2000">
        <w:rPr>
          <w:rFonts w:ascii="Times New Roman" w:hAnsi="Times New Roman" w:cs="Times New Roman"/>
          <w:sz w:val="24"/>
          <w:szCs w:val="24"/>
        </w:rPr>
        <w:t xml:space="preserve"> be</w:t>
      </w:r>
      <w:r w:rsidR="001C74F3" w:rsidRPr="00DB2000">
        <w:rPr>
          <w:rFonts w:ascii="Times New Roman" w:hAnsi="Times New Roman" w:cs="Times New Roman"/>
          <w:sz w:val="24"/>
          <w:szCs w:val="24"/>
        </w:rPr>
        <w:t xml:space="preserve"> analyze</w:t>
      </w:r>
      <w:r w:rsidRPr="00DB2000">
        <w:rPr>
          <w:rFonts w:ascii="Times New Roman" w:hAnsi="Times New Roman" w:cs="Times New Roman"/>
          <w:sz w:val="24"/>
          <w:szCs w:val="24"/>
        </w:rPr>
        <w:t xml:space="preserve">d whether there is </w:t>
      </w:r>
      <w:r w:rsidR="001C74F3" w:rsidRPr="00DB2000">
        <w:rPr>
          <w:rFonts w:ascii="Times New Roman" w:hAnsi="Times New Roman" w:cs="Times New Roman"/>
          <w:sz w:val="24"/>
          <w:szCs w:val="24"/>
        </w:rPr>
        <w:t xml:space="preserve">empirical evidence </w:t>
      </w:r>
      <w:r w:rsidRPr="00DB2000">
        <w:rPr>
          <w:rFonts w:ascii="Times New Roman" w:hAnsi="Times New Roman" w:cs="Times New Roman"/>
          <w:sz w:val="24"/>
          <w:szCs w:val="24"/>
        </w:rPr>
        <w:t>for the</w:t>
      </w:r>
      <w:r w:rsidR="00905B74" w:rsidRPr="00DB2000">
        <w:rPr>
          <w:rFonts w:ascii="Times New Roman" w:hAnsi="Times New Roman" w:cs="Times New Roman"/>
          <w:sz w:val="24"/>
          <w:szCs w:val="24"/>
        </w:rPr>
        <w:t xml:space="preserve"> </w:t>
      </w:r>
      <w:r w:rsidRPr="00DB2000">
        <w:rPr>
          <w:rFonts w:ascii="Times New Roman" w:hAnsi="Times New Roman" w:cs="Times New Roman"/>
          <w:sz w:val="24"/>
          <w:szCs w:val="24"/>
        </w:rPr>
        <w:t>M</w:t>
      </w:r>
      <w:r w:rsidR="001C74F3" w:rsidRPr="00DB2000">
        <w:rPr>
          <w:rFonts w:ascii="Times New Roman" w:hAnsi="Times New Roman" w:cs="Times New Roman"/>
          <w:sz w:val="24"/>
          <w:szCs w:val="24"/>
        </w:rPr>
        <w:t xml:space="preserve">aturity </w:t>
      </w:r>
      <w:r w:rsidRPr="00DB2000">
        <w:rPr>
          <w:rFonts w:ascii="Times New Roman" w:hAnsi="Times New Roman" w:cs="Times New Roman"/>
          <w:sz w:val="24"/>
          <w:szCs w:val="24"/>
        </w:rPr>
        <w:t>H</w:t>
      </w:r>
      <w:r w:rsidR="001C74F3" w:rsidRPr="00DB2000">
        <w:rPr>
          <w:rFonts w:ascii="Times New Roman" w:hAnsi="Times New Roman" w:cs="Times New Roman"/>
          <w:sz w:val="24"/>
          <w:szCs w:val="24"/>
        </w:rPr>
        <w:t>ypothesis</w:t>
      </w:r>
      <w:r w:rsidRPr="00DB2000">
        <w:rPr>
          <w:rFonts w:ascii="Times New Roman" w:hAnsi="Times New Roman" w:cs="Times New Roman"/>
          <w:sz w:val="24"/>
          <w:szCs w:val="24"/>
        </w:rPr>
        <w:t>;</w:t>
      </w:r>
      <w:r w:rsidR="001C74F3" w:rsidRPr="00DB2000">
        <w:rPr>
          <w:rFonts w:ascii="Times New Roman" w:hAnsi="Times New Roman" w:cs="Times New Roman"/>
          <w:sz w:val="24"/>
          <w:szCs w:val="24"/>
        </w:rPr>
        <w:t xml:space="preserve"> whether the behavior of the stockholders and managers of increasing dividend policy under a confidence crisis has strong support </w:t>
      </w:r>
      <w:r w:rsidRPr="00DB2000">
        <w:rPr>
          <w:rFonts w:ascii="Times New Roman" w:hAnsi="Times New Roman" w:cs="Times New Roman"/>
          <w:sz w:val="24"/>
          <w:szCs w:val="24"/>
        </w:rPr>
        <w:t>for the Maturity Hypothesis or whether we</w:t>
      </w:r>
      <w:r w:rsidR="00905B74" w:rsidRPr="00DB2000">
        <w:rPr>
          <w:rFonts w:ascii="Times New Roman" w:hAnsi="Times New Roman" w:cs="Times New Roman"/>
          <w:sz w:val="24"/>
          <w:szCs w:val="24"/>
        </w:rPr>
        <w:t xml:space="preserve"> </w:t>
      </w:r>
      <w:r w:rsidRPr="00DB2000">
        <w:rPr>
          <w:rFonts w:ascii="Times New Roman" w:hAnsi="Times New Roman" w:cs="Times New Roman"/>
          <w:sz w:val="24"/>
          <w:szCs w:val="24"/>
        </w:rPr>
        <w:t>find an anomaly that may lead to</w:t>
      </w:r>
      <w:r w:rsidR="001C74F3" w:rsidRPr="00DB2000">
        <w:rPr>
          <w:rFonts w:ascii="Times New Roman" w:hAnsi="Times New Roman" w:cs="Times New Roman"/>
          <w:sz w:val="24"/>
          <w:szCs w:val="24"/>
        </w:rPr>
        <w:t xml:space="preserve"> new theory. </w:t>
      </w:r>
      <w:r w:rsidR="008C1569" w:rsidRPr="00DB2000">
        <w:rPr>
          <w:rFonts w:ascii="Times New Roman" w:hAnsi="Times New Roman" w:cs="Times New Roman"/>
          <w:sz w:val="24"/>
          <w:szCs w:val="24"/>
        </w:rPr>
        <w:t>We leave this to future research.</w:t>
      </w:r>
    </w:p>
    <w:p w:rsidR="00C251D6" w:rsidRDefault="001C74F3">
      <w:pPr>
        <w:pageBreakBefore/>
        <w:jc w:val="center"/>
        <w:rPr>
          <w:rFonts w:ascii="Times New Roman" w:hAnsi="Times New Roman" w:cs="Times New Roman"/>
          <w:b/>
        </w:rPr>
      </w:pPr>
      <w:r>
        <w:rPr>
          <w:rFonts w:ascii="Times New Roman" w:hAnsi="Times New Roman" w:cs="Times New Roman"/>
          <w:b/>
        </w:rPr>
        <w:lastRenderedPageBreak/>
        <w:t>REFERENCES</w:t>
      </w:r>
    </w:p>
    <w:p w:rsidR="00C251D6" w:rsidRDefault="001C74F3">
      <w:pPr>
        <w:jc w:val="both"/>
        <w:rPr>
          <w:rFonts w:ascii="Times New Roman" w:hAnsi="Times New Roman" w:cs="Times New Roman"/>
        </w:rPr>
      </w:pPr>
      <w:r>
        <w:rPr>
          <w:rFonts w:ascii="Times New Roman" w:hAnsi="Times New Roman" w:cs="Times New Roman"/>
        </w:rPr>
        <w:t xml:space="preserve">Aharony, J., Swary, I., 1980, Quaterly Dividend and Earning Announcements and Stockholders’ Returns: An Empirical Analysis, </w:t>
      </w:r>
      <w:r>
        <w:rPr>
          <w:rFonts w:ascii="Times New Roman" w:hAnsi="Times New Roman" w:cs="Times New Roman"/>
          <w:i/>
        </w:rPr>
        <w:t>The Journal of Finance</w:t>
      </w:r>
      <w:r>
        <w:rPr>
          <w:rFonts w:ascii="Times New Roman" w:hAnsi="Times New Roman" w:cs="Times New Roman"/>
        </w:rPr>
        <w:t>, 35, 1-12.</w:t>
      </w:r>
    </w:p>
    <w:p w:rsidR="00C251D6" w:rsidRDefault="001C74F3">
      <w:pPr>
        <w:spacing w:after="0" w:line="240" w:lineRule="auto"/>
        <w:jc w:val="both"/>
        <w:rPr>
          <w:rFonts w:ascii="Times New Roman" w:hAnsi="Times New Roman" w:cs="Times New Roman"/>
        </w:rPr>
      </w:pPr>
      <w:r>
        <w:rPr>
          <w:rFonts w:ascii="Times New Roman" w:hAnsi="Times New Roman" w:cs="Times New Roman"/>
        </w:rPr>
        <w:t xml:space="preserve">Aharony, J., and Dotan A., 1994, Regular dividend announcements and future unexpected earnings: An empirical anaysis, </w:t>
      </w:r>
      <w:r>
        <w:rPr>
          <w:rFonts w:ascii="Times New Roman" w:hAnsi="Times New Roman" w:cs="Times New Roman"/>
          <w:i/>
          <w:iCs/>
        </w:rPr>
        <w:t xml:space="preserve">Financial Review, </w:t>
      </w:r>
      <w:r>
        <w:rPr>
          <w:rFonts w:ascii="Times New Roman" w:hAnsi="Times New Roman" w:cs="Times New Roman"/>
        </w:rPr>
        <w:t>29, 125 – 151.</w:t>
      </w:r>
    </w:p>
    <w:p w:rsidR="00C251D6" w:rsidRDefault="00C251D6">
      <w:pPr>
        <w:spacing w:after="0" w:line="240" w:lineRule="auto"/>
        <w:jc w:val="both"/>
        <w:rPr>
          <w:rFonts w:ascii="TimesNewRomanPSMT" w:hAnsi="TimesNewRomanPSMT" w:cs="TimesNewRomanPSMT"/>
          <w:sz w:val="24"/>
          <w:szCs w:val="24"/>
        </w:rPr>
      </w:pPr>
    </w:p>
    <w:p w:rsidR="00C251D6" w:rsidRDefault="001C74F3">
      <w:pPr>
        <w:spacing w:after="0" w:line="240" w:lineRule="auto"/>
        <w:jc w:val="both"/>
        <w:rPr>
          <w:rFonts w:ascii="Times New Roman" w:hAnsi="Times New Roman" w:cs="TimesNewRomanPSMT"/>
        </w:rPr>
      </w:pPr>
      <w:r>
        <w:rPr>
          <w:rFonts w:ascii="Times New Roman" w:hAnsi="Times New Roman" w:cs="TimesNewRomanPSMT"/>
        </w:rPr>
        <w:t xml:space="preserve">Allen, F., Bernardo, A., and Welch, I., 2000, A theory of dividends based on tax clientele, </w:t>
      </w:r>
      <w:r>
        <w:rPr>
          <w:rFonts w:ascii="Times New Roman" w:hAnsi="Times New Roman" w:cs="Times New Roman"/>
          <w:i/>
          <w:iCs/>
        </w:rPr>
        <w:t xml:space="preserve">Journal of Finance, </w:t>
      </w:r>
      <w:r>
        <w:rPr>
          <w:rFonts w:ascii="Times New Roman" w:hAnsi="Times New Roman" w:cs="TimesNewRomanPSMT"/>
        </w:rPr>
        <w:t>55, 2499-2536.</w:t>
      </w:r>
    </w:p>
    <w:p w:rsidR="00C251D6" w:rsidRDefault="00C251D6">
      <w:pPr>
        <w:spacing w:after="0" w:line="240" w:lineRule="auto"/>
        <w:jc w:val="both"/>
        <w:rPr>
          <w:rFonts w:ascii="TimesNewRomanPSMT" w:hAnsi="TimesNewRomanPSMT" w:cs="TimesNewRomanPSMT"/>
          <w:sz w:val="24"/>
          <w:szCs w:val="24"/>
        </w:rPr>
      </w:pPr>
    </w:p>
    <w:p w:rsidR="00C251D6" w:rsidRDefault="001C74F3">
      <w:pPr>
        <w:jc w:val="both"/>
        <w:rPr>
          <w:rFonts w:ascii="Times New Roman" w:hAnsi="Times New Roman" w:cs="Times New Roman"/>
        </w:rPr>
      </w:pPr>
      <w:r>
        <w:rPr>
          <w:rFonts w:ascii="Times New Roman" w:hAnsi="Times New Roman" w:cs="TimesNewRomanPSMT"/>
        </w:rPr>
        <w:t xml:space="preserve">Asquith, P., and Mullins, D. W., Jr. 1983, The impact of initiating dividend payments on </w:t>
      </w:r>
      <w:r>
        <w:rPr>
          <w:rFonts w:ascii="Times New Roman" w:hAnsi="Times New Roman" w:cs="Times New Roman"/>
        </w:rPr>
        <w:t xml:space="preserve">shareholders' wealth, </w:t>
      </w:r>
      <w:r>
        <w:rPr>
          <w:rFonts w:ascii="Times New Roman" w:hAnsi="Times New Roman" w:cs="Times New Roman"/>
          <w:i/>
        </w:rPr>
        <w:t>Journal of Business</w:t>
      </w:r>
      <w:r>
        <w:rPr>
          <w:rFonts w:ascii="Times New Roman" w:hAnsi="Times New Roman" w:cs="Times New Roman"/>
        </w:rPr>
        <w:t>, 56, 77-96.</w:t>
      </w:r>
    </w:p>
    <w:p w:rsidR="00C251D6" w:rsidRDefault="001C74F3">
      <w:pPr>
        <w:jc w:val="both"/>
        <w:rPr>
          <w:rFonts w:ascii="Times New Roman" w:hAnsi="Times New Roman" w:cs="Times New Roman"/>
        </w:rPr>
      </w:pPr>
      <w:r>
        <w:rPr>
          <w:rFonts w:ascii="Times New Roman" w:hAnsi="Times New Roman" w:cs="Times New Roman"/>
        </w:rPr>
        <w:t xml:space="preserve">Benartzi, S., Michaely, R.,Thaler, R., 1997, Do Changes in Dividends Signal the Future or the Past?, </w:t>
      </w:r>
      <w:r>
        <w:rPr>
          <w:rFonts w:ascii="Times New Roman" w:hAnsi="Times New Roman" w:cs="Times New Roman"/>
          <w:i/>
        </w:rPr>
        <w:t>The journal of Finance</w:t>
      </w:r>
      <w:r>
        <w:rPr>
          <w:rFonts w:ascii="Times New Roman" w:hAnsi="Times New Roman" w:cs="Times New Roman"/>
        </w:rPr>
        <w:t>, 52, 1007-1034.</w:t>
      </w:r>
    </w:p>
    <w:p w:rsidR="00C251D6" w:rsidRDefault="001C74F3">
      <w:pPr>
        <w:spacing w:after="0" w:line="240" w:lineRule="auto"/>
        <w:jc w:val="both"/>
        <w:rPr>
          <w:rFonts w:ascii="Times New Roman" w:hAnsi="Times New Roman" w:cs="TimesNewRomanPSMT"/>
        </w:rPr>
      </w:pPr>
      <w:r>
        <w:rPr>
          <w:rFonts w:ascii="Times New Roman" w:hAnsi="Times New Roman" w:cs="TimesNewRomanPSMT"/>
        </w:rPr>
        <w:t xml:space="preserve">Bhattacharya, S., 1979, Imperfect information, dividend policy, and “the bird in the hand” fallacy, </w:t>
      </w:r>
      <w:r>
        <w:rPr>
          <w:rFonts w:ascii="Times New Roman" w:hAnsi="Times New Roman" w:cs="Times New Roman"/>
          <w:i/>
          <w:iCs/>
        </w:rPr>
        <w:t xml:space="preserve">Bell Journal of Economics, </w:t>
      </w:r>
      <w:r>
        <w:rPr>
          <w:rFonts w:ascii="Times New Roman" w:hAnsi="Times New Roman" w:cs="TimesNewRomanPSMT"/>
        </w:rPr>
        <w:t>10, 259-270.</w:t>
      </w:r>
    </w:p>
    <w:p w:rsidR="00C251D6" w:rsidRDefault="00C251D6">
      <w:pPr>
        <w:spacing w:after="0" w:line="240" w:lineRule="auto"/>
        <w:jc w:val="both"/>
        <w:rPr>
          <w:rFonts w:ascii="Times New Roman" w:hAnsi="Times New Roman" w:cs="TimesNewRomanPSMT"/>
        </w:rPr>
      </w:pPr>
    </w:p>
    <w:p w:rsidR="00C251D6" w:rsidRDefault="001C74F3">
      <w:pPr>
        <w:jc w:val="both"/>
        <w:rPr>
          <w:rFonts w:ascii="Times New Roman" w:hAnsi="Times New Roman" w:cs="Times New Roman"/>
        </w:rPr>
      </w:pPr>
      <w:r>
        <w:rPr>
          <w:rFonts w:ascii="Times New Roman" w:hAnsi="Times New Roman" w:cs="Times New Roman"/>
        </w:rPr>
        <w:t xml:space="preserve">Elton E. J., Gruber, M. J., and Blake, C. R., 2005, The adequacy of investment choices offered by 401(k) plans, </w:t>
      </w:r>
      <w:r>
        <w:rPr>
          <w:rFonts w:ascii="Times New Roman" w:hAnsi="Times New Roman" w:cs="Times New Roman"/>
          <w:i/>
        </w:rPr>
        <w:t xml:space="preserve">Journal of Public Economics, </w:t>
      </w:r>
      <w:r>
        <w:rPr>
          <w:rFonts w:ascii="Times New Roman" w:hAnsi="Times New Roman" w:cs="Times New Roman"/>
        </w:rPr>
        <w:t>90, 1299 – 1314.</w:t>
      </w:r>
    </w:p>
    <w:p w:rsidR="00C251D6" w:rsidRDefault="001C74F3">
      <w:pPr>
        <w:spacing w:after="0" w:line="240" w:lineRule="auto"/>
        <w:jc w:val="both"/>
        <w:rPr>
          <w:rFonts w:ascii="TimesNewRomanPSMT" w:hAnsi="TimesNewRomanPSMT" w:cs="TimesNewRomanPSMT"/>
        </w:rPr>
      </w:pPr>
      <w:r>
        <w:rPr>
          <w:rFonts w:ascii="Times New Roman" w:hAnsi="Times New Roman" w:cs="Times New Roman"/>
        </w:rPr>
        <w:t xml:space="preserve">Elton, E. J., and Gruber, M. J., 1970, Marginal stockholder tax rates and the clientele effect, </w:t>
      </w:r>
      <w:r>
        <w:rPr>
          <w:rFonts w:ascii="Times New Roman" w:hAnsi="Times New Roman" w:cs="Times New Roman"/>
          <w:i/>
          <w:iCs/>
        </w:rPr>
        <w:t>The revivew of Econometrics and Statistics, 52, 25-43</w:t>
      </w:r>
      <w:r>
        <w:rPr>
          <w:rFonts w:ascii="TimesNewRomanPSMT" w:hAnsi="TimesNewRomanPSMT" w:cs="TimesNewRomanPSMT"/>
        </w:rPr>
        <w:t>.</w:t>
      </w:r>
    </w:p>
    <w:p w:rsidR="00C251D6" w:rsidRDefault="00C251D6">
      <w:pPr>
        <w:spacing w:after="0" w:line="240" w:lineRule="auto"/>
        <w:jc w:val="both"/>
        <w:rPr>
          <w:rFonts w:ascii="TimesNewRomanPSMT" w:hAnsi="TimesNewRomanPSMT" w:cs="TimesNewRomanPSMT"/>
        </w:rPr>
      </w:pPr>
    </w:p>
    <w:p w:rsidR="00C251D6" w:rsidRDefault="001C74F3">
      <w:pPr>
        <w:jc w:val="both"/>
        <w:rPr>
          <w:rFonts w:ascii="Times New Roman" w:hAnsi="Times New Roman" w:cs="Times New Roman"/>
        </w:rPr>
      </w:pPr>
      <w:r>
        <w:rPr>
          <w:rFonts w:ascii="Times New Roman" w:hAnsi="Times New Roman" w:cs="Times New Roman"/>
        </w:rPr>
        <w:t xml:space="preserve">Fama, E. F., and MacBeth, J. D., 1973, Risk, return, and equilibrium: Empirical tests, </w:t>
      </w:r>
      <w:r>
        <w:rPr>
          <w:rFonts w:ascii="Times New Roman" w:hAnsi="Times New Roman" w:cs="Times New Roman"/>
          <w:i/>
        </w:rPr>
        <w:t xml:space="preserve">Journal of Political Economy, </w:t>
      </w:r>
      <w:r>
        <w:rPr>
          <w:rFonts w:ascii="Times New Roman" w:hAnsi="Times New Roman" w:cs="Times New Roman"/>
        </w:rPr>
        <w:t xml:space="preserve">81, </w:t>
      </w:r>
      <w:bookmarkStart w:id="2" w:name="__DdeLink__1904_214492377"/>
      <w:r>
        <w:rPr>
          <w:rFonts w:ascii="Times New Roman" w:hAnsi="Times New Roman" w:cs="Times New Roman"/>
        </w:rPr>
        <w:t>607</w:t>
      </w:r>
      <w:bookmarkEnd w:id="2"/>
      <w:r>
        <w:rPr>
          <w:rFonts w:ascii="Times New Roman" w:hAnsi="Times New Roman" w:cs="Times New Roman"/>
        </w:rPr>
        <w:t>-36.</w:t>
      </w:r>
    </w:p>
    <w:p w:rsidR="00C251D6" w:rsidRDefault="001C74F3">
      <w:pPr>
        <w:jc w:val="both"/>
        <w:rPr>
          <w:rFonts w:ascii="Times New Roman" w:hAnsi="Times New Roman" w:cs="Times New Roman"/>
        </w:rPr>
      </w:pPr>
      <w:r>
        <w:rPr>
          <w:rFonts w:ascii="Times New Roman" w:hAnsi="Times New Roman" w:cs="Times New Roman"/>
        </w:rPr>
        <w:t xml:space="preserve">Gonedes, N.J., 1978, Corporate signaling, external accounting, and capital market equilibrium: Evidence on dividends, income, and extraordinary items, </w:t>
      </w:r>
      <w:r>
        <w:rPr>
          <w:rFonts w:ascii="Times New Roman" w:hAnsi="Times New Roman" w:cs="Times New Roman"/>
          <w:i/>
        </w:rPr>
        <w:t xml:space="preserve">Journal of Accounting Research, </w:t>
      </w:r>
      <w:r>
        <w:rPr>
          <w:rFonts w:ascii="Times New Roman" w:hAnsi="Times New Roman" w:cs="Times New Roman"/>
        </w:rPr>
        <w:t>16, 26 -79.</w:t>
      </w:r>
    </w:p>
    <w:p w:rsidR="00C251D6" w:rsidRDefault="001C74F3">
      <w:pPr>
        <w:spacing w:after="0" w:line="240" w:lineRule="auto"/>
        <w:jc w:val="both"/>
        <w:rPr>
          <w:rFonts w:ascii="Times New Roman" w:hAnsi="Times New Roman" w:cs="Times New Roman"/>
        </w:rPr>
      </w:pPr>
      <w:r>
        <w:rPr>
          <w:rFonts w:ascii="Times New Roman" w:hAnsi="Times New Roman" w:cs="Times New Roman"/>
        </w:rPr>
        <w:t xml:space="preserve">Grullon, G., Michaely, R., Benartzi, S., and Thaler R.H., 2005, Dividend changes do not signal changes in future Profitability, </w:t>
      </w:r>
      <w:r>
        <w:rPr>
          <w:rFonts w:ascii="Times New Roman" w:hAnsi="Times New Roman" w:cs="Times New Roman"/>
          <w:i/>
        </w:rPr>
        <w:t>Journal of Business</w:t>
      </w:r>
      <w:r>
        <w:rPr>
          <w:rFonts w:ascii="Times New Roman" w:hAnsi="Times New Roman" w:cs="Times New Roman"/>
        </w:rPr>
        <w:t>, 78, 1659-1682.</w:t>
      </w:r>
    </w:p>
    <w:p w:rsidR="00C251D6" w:rsidRDefault="00C251D6">
      <w:pPr>
        <w:spacing w:after="0" w:line="240" w:lineRule="auto"/>
        <w:jc w:val="both"/>
        <w:rPr>
          <w:rFonts w:ascii="Times New Roman" w:hAnsi="Times New Roman" w:cs="Times New Roman"/>
        </w:rPr>
      </w:pPr>
    </w:p>
    <w:p w:rsidR="00C251D6" w:rsidRDefault="001C74F3">
      <w:pPr>
        <w:spacing w:after="0" w:line="240" w:lineRule="auto"/>
        <w:jc w:val="both"/>
        <w:rPr>
          <w:rFonts w:ascii="Times New Roman" w:hAnsi="Times New Roman" w:cs="Times New Roman"/>
        </w:rPr>
      </w:pPr>
      <w:r>
        <w:rPr>
          <w:rFonts w:ascii="Times New Roman" w:hAnsi="Times New Roman" w:cs="Times New Roman"/>
        </w:rPr>
        <w:t xml:space="preserve">Grullon, G., Micahely, R., Swaminathan, B., 2002, Are dividend changes a sign of firm maturity?, </w:t>
      </w:r>
      <w:r>
        <w:rPr>
          <w:rFonts w:ascii="Times New Roman" w:hAnsi="Times New Roman" w:cs="Times New Roman"/>
          <w:i/>
        </w:rPr>
        <w:t xml:space="preserve">Journal of Business, </w:t>
      </w:r>
      <w:r>
        <w:rPr>
          <w:rFonts w:ascii="Times New Roman" w:hAnsi="Times New Roman" w:cs="Times New Roman"/>
        </w:rPr>
        <w:t>75, 387-424.</w:t>
      </w:r>
    </w:p>
    <w:p w:rsidR="00C251D6" w:rsidRDefault="00C251D6">
      <w:pPr>
        <w:spacing w:after="0" w:line="240" w:lineRule="auto"/>
        <w:jc w:val="both"/>
        <w:rPr>
          <w:rFonts w:ascii="Times New Roman" w:hAnsi="Times New Roman" w:cs="Times New Roman"/>
        </w:rPr>
      </w:pPr>
    </w:p>
    <w:p w:rsidR="00C251D6" w:rsidRDefault="001C74F3">
      <w:pPr>
        <w:jc w:val="both"/>
        <w:rPr>
          <w:rFonts w:ascii="Times New Roman" w:hAnsi="Times New Roman" w:cs="Times New Roman"/>
        </w:rPr>
      </w:pPr>
      <w:r>
        <w:rPr>
          <w:rFonts w:ascii="Times New Roman" w:hAnsi="Times New Roman" w:cs="Times New Roman"/>
        </w:rPr>
        <w:t xml:space="preserve">Hansen, L., and Hodrick, R. J., 1980, Forward exchange rates as optimal predictors of future spot rates: An econometric analysis,  </w:t>
      </w:r>
      <w:r>
        <w:rPr>
          <w:rFonts w:ascii="Times New Roman" w:hAnsi="Times New Roman" w:cs="Times New Roman"/>
          <w:i/>
        </w:rPr>
        <w:t xml:space="preserve">Journal of Political Economy, </w:t>
      </w:r>
      <w:r>
        <w:rPr>
          <w:rFonts w:ascii="Times New Roman" w:hAnsi="Times New Roman" w:cs="Times New Roman"/>
        </w:rPr>
        <w:t>88, 829-853.</w:t>
      </w:r>
    </w:p>
    <w:p w:rsidR="00C251D6" w:rsidRDefault="001C74F3">
      <w:pPr>
        <w:jc w:val="both"/>
        <w:rPr>
          <w:rFonts w:ascii="Times New Roman" w:hAnsi="Times New Roman" w:cs="Times New Roman"/>
        </w:rPr>
      </w:pPr>
      <w:r>
        <w:rPr>
          <w:rFonts w:ascii="Times New Roman" w:hAnsi="Times New Roman" w:cs="Times New Roman"/>
        </w:rPr>
        <w:t xml:space="preserve">John,K., and J. Williams., 1985, Dividends, dilution, and taxes: A signaling equilibrium, </w:t>
      </w:r>
      <w:r>
        <w:rPr>
          <w:rFonts w:ascii="Times New Roman" w:hAnsi="Times New Roman" w:cs="Times New Roman"/>
          <w:i/>
        </w:rPr>
        <w:t>The Journal of Finance</w:t>
      </w:r>
      <w:r>
        <w:rPr>
          <w:rFonts w:ascii="Times New Roman" w:hAnsi="Times New Roman" w:cs="Times New Roman"/>
        </w:rPr>
        <w:t>, 40, 1053-70.</w:t>
      </w:r>
    </w:p>
    <w:p w:rsidR="00C251D6" w:rsidRDefault="001C74F3">
      <w:pPr>
        <w:jc w:val="both"/>
        <w:rPr>
          <w:rFonts w:ascii="Times New Roman" w:hAnsi="Times New Roman" w:cs="Times New Roman"/>
          <w:i/>
        </w:rPr>
      </w:pPr>
      <w:r>
        <w:rPr>
          <w:rFonts w:ascii="Times New Roman" w:hAnsi="Times New Roman" w:cs="TimesNewRomanPSMT"/>
        </w:rPr>
        <w:t>Jensen, M. C., 1986, Agency costs of free cash flow, corporate finance, and takeovers,</w:t>
      </w:r>
      <w:r>
        <w:rPr>
          <w:rFonts w:ascii="Times New Roman" w:hAnsi="Times New Roman" w:cs="Times New Roman"/>
          <w:i/>
          <w:iCs/>
          <w:sz w:val="24"/>
          <w:szCs w:val="24"/>
        </w:rPr>
        <w:t xml:space="preserve">American </w:t>
      </w:r>
      <w:r>
        <w:rPr>
          <w:rFonts w:ascii="Times New Roman" w:hAnsi="Times New Roman" w:cs="Times New Roman"/>
          <w:i/>
        </w:rPr>
        <w:t>Economic Review, 76, 323-329.</w:t>
      </w:r>
    </w:p>
    <w:p w:rsidR="00C251D6" w:rsidRDefault="001C74F3">
      <w:pPr>
        <w:jc w:val="both"/>
        <w:rPr>
          <w:rFonts w:ascii="Times New Roman" w:hAnsi="Times New Roman" w:cs="Times New Roman"/>
        </w:rPr>
      </w:pPr>
      <w:r>
        <w:rPr>
          <w:rFonts w:ascii="Times New Roman" w:hAnsi="Times New Roman" w:cs="Times New Roman"/>
        </w:rPr>
        <w:t xml:space="preserve">Kalay, A., 1982, The Ex-Dividend Day Behavior of Stock Prices: A Re-Examination of the Clientele Effect, </w:t>
      </w:r>
      <w:r>
        <w:rPr>
          <w:rFonts w:ascii="Times New Roman" w:hAnsi="Times New Roman" w:cs="Times New Roman"/>
          <w:i/>
        </w:rPr>
        <w:t>The Journal of Finance</w:t>
      </w:r>
      <w:r>
        <w:rPr>
          <w:rFonts w:ascii="Times New Roman" w:hAnsi="Times New Roman" w:cs="Times New Roman"/>
        </w:rPr>
        <w:t>, 37, 1059-70.</w:t>
      </w:r>
    </w:p>
    <w:p w:rsidR="00C251D6" w:rsidRDefault="001C74F3">
      <w:pPr>
        <w:spacing w:after="0" w:line="240" w:lineRule="auto"/>
        <w:jc w:val="both"/>
        <w:rPr>
          <w:rFonts w:ascii="Times New Roman" w:hAnsi="Times New Roman" w:cs="Times New Roman"/>
        </w:rPr>
      </w:pPr>
      <w:r>
        <w:rPr>
          <w:rFonts w:ascii="Times New Roman" w:hAnsi="Times New Roman" w:cs="Times New Roman"/>
        </w:rPr>
        <w:lastRenderedPageBreak/>
        <w:t xml:space="preserve">Kalay, A., and Lowensteing, U., 1985, Preditable events and excess returns : The case of dividend announcements, </w:t>
      </w:r>
      <w:r>
        <w:rPr>
          <w:rFonts w:ascii="Times New Roman" w:hAnsi="Times New Roman" w:cs="Times New Roman"/>
          <w:i/>
          <w:iCs/>
        </w:rPr>
        <w:t xml:space="preserve">Journal of Financial Economics, </w:t>
      </w:r>
      <w:r>
        <w:rPr>
          <w:rFonts w:ascii="Times New Roman" w:hAnsi="Times New Roman" w:cs="Times New Roman"/>
        </w:rPr>
        <w:t>14, 423 – 449.</w:t>
      </w:r>
    </w:p>
    <w:p w:rsidR="00C251D6" w:rsidRDefault="00C251D6">
      <w:pPr>
        <w:spacing w:after="0" w:line="240" w:lineRule="auto"/>
        <w:jc w:val="both"/>
        <w:rPr>
          <w:rFonts w:ascii="Times New Roman" w:hAnsi="Times New Roman" w:cs="Times New Roman"/>
        </w:rPr>
      </w:pPr>
    </w:p>
    <w:p w:rsidR="00C251D6" w:rsidRDefault="001C74F3">
      <w:pPr>
        <w:jc w:val="both"/>
        <w:rPr>
          <w:rFonts w:ascii="Times New Roman" w:hAnsi="Times New Roman" w:cs="Times New Roman"/>
        </w:rPr>
      </w:pPr>
      <w:r>
        <w:rPr>
          <w:rFonts w:ascii="Times New Roman" w:hAnsi="Times New Roman" w:cs="Times New Roman"/>
        </w:rPr>
        <w:t xml:space="preserve">Karpoff, J. M., and Walking R. A., 1988, Short-Term Trading Around Ex-Dividend Days: Additional Evidence, </w:t>
      </w:r>
      <w:r>
        <w:rPr>
          <w:rFonts w:ascii="Times New Roman" w:hAnsi="Times New Roman" w:cs="Times New Roman"/>
          <w:i/>
        </w:rPr>
        <w:t xml:space="preserve">Journal of Financial Economics, </w:t>
      </w:r>
      <w:r>
        <w:rPr>
          <w:rFonts w:ascii="Times New Roman" w:hAnsi="Times New Roman" w:cs="Times New Roman"/>
        </w:rPr>
        <w:t>21, 291-8.</w:t>
      </w:r>
    </w:p>
    <w:p w:rsidR="00C251D6" w:rsidRDefault="001C74F3">
      <w:pPr>
        <w:jc w:val="both"/>
        <w:rPr>
          <w:rFonts w:ascii="Times New Roman" w:hAnsi="Times New Roman" w:cs="Times New Roman"/>
        </w:rPr>
      </w:pPr>
      <w:r>
        <w:rPr>
          <w:rFonts w:ascii="Times New Roman" w:hAnsi="Times New Roman" w:cs="Times New Roman"/>
        </w:rPr>
        <w:t xml:space="preserve">Karpoff, J. M., and Walking R. A., 1990, Dividend Capture in NASDAQ stocks, </w:t>
      </w:r>
      <w:r>
        <w:rPr>
          <w:rFonts w:ascii="Times New Roman" w:hAnsi="Times New Roman" w:cs="Times New Roman"/>
          <w:i/>
        </w:rPr>
        <w:t xml:space="preserve">Journal of Financial Economics, </w:t>
      </w:r>
      <w:r>
        <w:rPr>
          <w:rFonts w:ascii="Times New Roman" w:hAnsi="Times New Roman" w:cs="Times New Roman"/>
        </w:rPr>
        <w:t>28, 39-66.</w:t>
      </w:r>
    </w:p>
    <w:p w:rsidR="00C251D6" w:rsidRDefault="001C74F3">
      <w:pPr>
        <w:jc w:val="both"/>
        <w:rPr>
          <w:rFonts w:ascii="Times New Roman" w:hAnsi="Times New Roman" w:cs="Times New Roman"/>
          <w:i/>
        </w:rPr>
      </w:pPr>
      <w:r>
        <w:rPr>
          <w:rFonts w:ascii="Times New Roman" w:hAnsi="Times New Roman" w:cs="Times New Roman"/>
        </w:rPr>
        <w:t>La Porta, R., Lopez-de-Silanes, F., Shleifer, A., Vishny R., W., 2000, Agency problems and dividend policies around the world</w:t>
      </w:r>
      <w:r>
        <w:rPr>
          <w:rFonts w:ascii="Times New Roman" w:hAnsi="Times New Roman" w:cs="Times New Roman"/>
          <w:i/>
        </w:rPr>
        <w:t>, Journal of Finance, 55, 1 – 33.</w:t>
      </w:r>
    </w:p>
    <w:p w:rsidR="00C251D6" w:rsidRDefault="001C74F3">
      <w:pPr>
        <w:jc w:val="both"/>
        <w:rPr>
          <w:rFonts w:ascii="Times New Roman" w:hAnsi="Times New Roman" w:cs="TimesNewRomanPSMT"/>
        </w:rPr>
      </w:pPr>
      <w:r>
        <w:rPr>
          <w:rFonts w:ascii="Times New Roman" w:hAnsi="Times New Roman" w:cs="Times New Roman"/>
        </w:rPr>
        <w:t>Lang, L. H. P., and Litzenberger, R. H., 1989, Dividend announcements: Cash flow signaling vs. free</w:t>
      </w:r>
      <w:r>
        <w:rPr>
          <w:rFonts w:ascii="Times New Roman" w:hAnsi="Times New Roman" w:cs="TimesNewRomanPSMT"/>
        </w:rPr>
        <w:t xml:space="preserve">cash flow hypothesis?, </w:t>
      </w:r>
      <w:r>
        <w:rPr>
          <w:rFonts w:ascii="Times New Roman" w:hAnsi="Times New Roman" w:cs="Times New Roman"/>
          <w:i/>
          <w:iCs/>
        </w:rPr>
        <w:t xml:space="preserve">Journal of Financial Economics, </w:t>
      </w:r>
      <w:r>
        <w:rPr>
          <w:rFonts w:ascii="Times New Roman" w:hAnsi="Times New Roman" w:cs="TimesNewRomanPSMT"/>
        </w:rPr>
        <w:t>24, 181-191.</w:t>
      </w:r>
    </w:p>
    <w:p w:rsidR="00C251D6" w:rsidRDefault="001C74F3">
      <w:pPr>
        <w:jc w:val="both"/>
        <w:rPr>
          <w:rFonts w:ascii="Times New Roman" w:hAnsi="Times New Roman" w:cs="Times New Roman"/>
        </w:rPr>
      </w:pPr>
      <w:r>
        <w:rPr>
          <w:rFonts w:ascii="Times New Roman" w:hAnsi="Times New Roman" w:cs="Times New Roman"/>
        </w:rPr>
        <w:t xml:space="preserve">Michaely R., 1991, Ex-Dividend Day Stock Price Behavior: The Case of the 1986 Tax Reform, </w:t>
      </w:r>
      <w:r>
        <w:rPr>
          <w:rFonts w:ascii="Times New Roman" w:hAnsi="Times New Roman" w:cs="Times New Roman"/>
          <w:i/>
        </w:rPr>
        <w:t xml:space="preserve">The Journal of Finance, </w:t>
      </w:r>
      <w:r>
        <w:rPr>
          <w:rFonts w:ascii="Times New Roman" w:hAnsi="Times New Roman" w:cs="Times New Roman"/>
        </w:rPr>
        <w:t>46 , 845-859.</w:t>
      </w:r>
    </w:p>
    <w:p w:rsidR="00C251D6" w:rsidRDefault="001C74F3">
      <w:pPr>
        <w:jc w:val="both"/>
        <w:rPr>
          <w:rFonts w:ascii="Times New Roman" w:hAnsi="Times New Roman" w:cs="Times New Roman"/>
          <w:i/>
        </w:rPr>
      </w:pPr>
      <w:r>
        <w:rPr>
          <w:rFonts w:ascii="Times New Roman" w:hAnsi="Times New Roman" w:cs="Times New Roman"/>
        </w:rPr>
        <w:t xml:space="preserve">Michaely, R., Thaler, R.H.., and Womack, K.L., 1995, Price reactions to dividend initiations and </w:t>
      </w:r>
      <w:r>
        <w:rPr>
          <w:rFonts w:ascii="Times New Roman" w:hAnsi="Times New Roman" w:cs="Times New Roman"/>
          <w:i/>
        </w:rPr>
        <w:t xml:space="preserve">omissions: Overreaction or drift?, Journal of Finance, </w:t>
      </w:r>
      <w:r>
        <w:rPr>
          <w:rFonts w:ascii="Times New Roman" w:hAnsi="Times New Roman" w:cs="Times New Roman"/>
        </w:rPr>
        <w:t>50, 573-608</w:t>
      </w:r>
      <w:r>
        <w:rPr>
          <w:rFonts w:ascii="Times New Roman" w:hAnsi="Times New Roman" w:cs="Times New Roman"/>
          <w:i/>
        </w:rPr>
        <w:t>.</w:t>
      </w:r>
    </w:p>
    <w:p w:rsidR="00C251D6" w:rsidRDefault="001C74F3">
      <w:pPr>
        <w:jc w:val="both"/>
        <w:rPr>
          <w:rFonts w:ascii="Times New Roman" w:hAnsi="Times New Roman" w:cs="Times New Roman"/>
          <w:i/>
        </w:rPr>
      </w:pPr>
      <w:r>
        <w:rPr>
          <w:rFonts w:ascii="Times New Roman" w:hAnsi="Times New Roman" w:cs="Times New Roman"/>
        </w:rPr>
        <w:t xml:space="preserve">Michaely, R., Vila, J., Wang, J., 1996, A Model of Trading Volume with Tax-Induced Heterogeneous </w:t>
      </w:r>
      <w:r>
        <w:rPr>
          <w:rFonts w:ascii="Times New Roman" w:hAnsi="Times New Roman" w:cs="Times New Roman"/>
          <w:i/>
        </w:rPr>
        <w:t>Valuation and Transaction Costs, Journal of Financial Intermediation</w:t>
      </w:r>
      <w:r>
        <w:rPr>
          <w:rFonts w:ascii="Times New Roman" w:hAnsi="Times New Roman" w:cs="Times New Roman"/>
        </w:rPr>
        <w:t>, 5, 340-371</w:t>
      </w:r>
      <w:r>
        <w:rPr>
          <w:rFonts w:ascii="Times New Roman" w:hAnsi="Times New Roman" w:cs="Times New Roman"/>
          <w:i/>
        </w:rPr>
        <w:t>.</w:t>
      </w:r>
    </w:p>
    <w:p w:rsidR="00C251D6" w:rsidRDefault="001C74F3">
      <w:pPr>
        <w:jc w:val="both"/>
        <w:rPr>
          <w:rFonts w:ascii="Times New Roman" w:hAnsi="Times New Roman" w:cs="Times New Roman"/>
        </w:rPr>
      </w:pPr>
      <w:r>
        <w:rPr>
          <w:rFonts w:ascii="Times New Roman" w:hAnsi="Times New Roman" w:cs="Times New Roman"/>
        </w:rPr>
        <w:t>Miller, M. H., and Mondigliani F., 1961</w:t>
      </w:r>
      <w:r>
        <w:rPr>
          <w:rFonts w:ascii="Times New Roman" w:hAnsi="Times New Roman" w:cs="Times New Roman"/>
          <w:i/>
        </w:rPr>
        <w:t xml:space="preserve">, </w:t>
      </w:r>
      <w:r>
        <w:rPr>
          <w:rFonts w:ascii="Times New Roman" w:hAnsi="Times New Roman" w:cs="Times New Roman"/>
        </w:rPr>
        <w:t>Dividend policy, growth, and the valuations of shares,</w:t>
      </w:r>
      <w:r>
        <w:rPr>
          <w:rFonts w:ascii="Times New Roman" w:hAnsi="Times New Roman" w:cs="Times New Roman"/>
          <w:i/>
        </w:rPr>
        <w:t xml:space="preserve"> Journal of Business</w:t>
      </w:r>
      <w:r>
        <w:rPr>
          <w:rFonts w:ascii="Times New Roman" w:hAnsi="Times New Roman" w:cs="Times New Roman"/>
        </w:rPr>
        <w:t>, 34, 411-433.</w:t>
      </w:r>
    </w:p>
    <w:p w:rsidR="00C251D6" w:rsidRDefault="001C74F3">
      <w:pPr>
        <w:jc w:val="both"/>
        <w:rPr>
          <w:rFonts w:ascii="Times New Roman" w:hAnsi="Times New Roman" w:cs="Times New Roman"/>
        </w:rPr>
      </w:pPr>
      <w:r>
        <w:rPr>
          <w:rFonts w:ascii="Times New Roman" w:hAnsi="Times New Roman" w:cs="Times New Roman"/>
        </w:rPr>
        <w:t xml:space="preserve">Miller, M. H., and Rock, K., 1985, Dividend policy under asymmetric information, </w:t>
      </w:r>
      <w:r>
        <w:rPr>
          <w:rFonts w:ascii="Times New Roman" w:hAnsi="Times New Roman" w:cs="Times New Roman"/>
          <w:i/>
        </w:rPr>
        <w:t>The Journal of Finance</w:t>
      </w:r>
      <w:r>
        <w:rPr>
          <w:rFonts w:ascii="Times New Roman" w:hAnsi="Times New Roman" w:cs="Times New Roman"/>
        </w:rPr>
        <w:t>, 40, 1031-51.</w:t>
      </w:r>
    </w:p>
    <w:p w:rsidR="00C251D6" w:rsidRDefault="001C74F3">
      <w:pPr>
        <w:jc w:val="both"/>
        <w:rPr>
          <w:rFonts w:ascii="Times New Roman" w:hAnsi="Times New Roman" w:cs="Times New Roman"/>
          <w:i/>
        </w:rPr>
      </w:pPr>
      <w:r>
        <w:rPr>
          <w:rFonts w:ascii="Times New Roman" w:hAnsi="Times New Roman" w:cs="Times New Roman"/>
        </w:rPr>
        <w:t>Nissim, D., and Ziv, A. 2001, Dividend changes and future profitability</w:t>
      </w:r>
      <w:r>
        <w:rPr>
          <w:rFonts w:ascii="Times New Roman" w:hAnsi="Times New Roman" w:cs="Times New Roman"/>
          <w:i/>
        </w:rPr>
        <w:t>, Journal of Finance, 56, 2111-33.</w:t>
      </w:r>
    </w:p>
    <w:p w:rsidR="00C251D6" w:rsidRDefault="001C74F3">
      <w:pPr>
        <w:jc w:val="both"/>
        <w:rPr>
          <w:rFonts w:ascii="Times New Roman" w:hAnsi="Times New Roman" w:cs="Times New Roman"/>
        </w:rPr>
      </w:pPr>
      <w:r>
        <w:rPr>
          <w:rFonts w:ascii="Times New Roman" w:hAnsi="Times New Roman" w:cs="Times New Roman"/>
        </w:rPr>
        <w:t xml:space="preserve">Ofer, A. R., and Siegel D. R., 1987, Corporate financial policy, information, and market expectation, </w:t>
      </w:r>
      <w:r>
        <w:rPr>
          <w:rFonts w:ascii="Times New Roman" w:hAnsi="Times New Roman" w:cs="Times New Roman"/>
          <w:i/>
        </w:rPr>
        <w:t>The Journal of Finance</w:t>
      </w:r>
      <w:r>
        <w:rPr>
          <w:rFonts w:ascii="Times New Roman" w:hAnsi="Times New Roman" w:cs="Times New Roman"/>
        </w:rPr>
        <w:t>, 42, 889 – 911.</w:t>
      </w:r>
    </w:p>
    <w:p w:rsidR="00C251D6" w:rsidRDefault="001C74F3">
      <w:pPr>
        <w:jc w:val="both"/>
        <w:rPr>
          <w:rFonts w:ascii="Times New Roman" w:hAnsi="Times New Roman" w:cs="Times New Roman"/>
        </w:rPr>
      </w:pPr>
      <w:r>
        <w:rPr>
          <w:rFonts w:ascii="Times New Roman" w:hAnsi="Times New Roman" w:cs="Times New Roman"/>
        </w:rPr>
        <w:t>Poterba, J.M., Summers L.H., 1985, New Evidence that Taxes Affect the Valuation of Dividends, Journal</w:t>
      </w:r>
      <w:r>
        <w:rPr>
          <w:rFonts w:ascii="Times New Roman" w:hAnsi="Times New Roman" w:cs="Times New Roman"/>
          <w:i/>
        </w:rPr>
        <w:t xml:space="preserve"> of Finance, </w:t>
      </w:r>
      <w:r>
        <w:rPr>
          <w:rFonts w:ascii="Times New Roman" w:hAnsi="Times New Roman" w:cs="Times New Roman"/>
        </w:rPr>
        <w:t>39, 1397-1415.</w:t>
      </w:r>
    </w:p>
    <w:p w:rsidR="00C251D6" w:rsidRDefault="00F9779E">
      <w:pPr>
        <w:spacing w:after="0" w:line="240" w:lineRule="auto"/>
        <w:jc w:val="both"/>
        <w:rPr>
          <w:rFonts w:ascii="Times New Roman" w:hAnsi="Times New Roman" w:cs="Times New Roman"/>
        </w:rPr>
      </w:pPr>
      <w:r>
        <w:rPr>
          <w:rFonts w:ascii="Times New Roman" w:hAnsi="Times New Roman" w:cs="Times New Roman"/>
        </w:rPr>
        <w:t>Pricewaterhouse</w:t>
      </w:r>
      <w:r w:rsidR="001C74F3">
        <w:rPr>
          <w:rFonts w:ascii="Times New Roman" w:hAnsi="Times New Roman" w:cs="Times New Roman"/>
        </w:rPr>
        <w:t xml:space="preserve">Coopers, 2013, Mine a Confidence crisis – Review of global trend in the mining industry 2013, </w:t>
      </w:r>
      <w:hyperlink r:id="rId7">
        <w:r w:rsidR="001C74F3">
          <w:rPr>
            <w:rStyle w:val="InternetLink"/>
            <w:rFonts w:ascii="Times New Roman" w:hAnsi="Times New Roman" w:cs="Times New Roman"/>
          </w:rPr>
          <w:t>www.pwc.com/mining</w:t>
        </w:r>
      </w:hyperlink>
      <w:r w:rsidR="001C74F3">
        <w:rPr>
          <w:rFonts w:ascii="Times New Roman" w:hAnsi="Times New Roman" w:cs="Times New Roman"/>
        </w:rPr>
        <w:t>.</w:t>
      </w:r>
    </w:p>
    <w:p w:rsidR="00C251D6" w:rsidRDefault="00C251D6">
      <w:pPr>
        <w:spacing w:after="0" w:line="240" w:lineRule="auto"/>
        <w:rPr>
          <w:rFonts w:ascii="Times New Roman" w:hAnsi="Times New Roman" w:cs="Times New Roman"/>
        </w:rPr>
      </w:pPr>
    </w:p>
    <w:p w:rsidR="00C251D6" w:rsidRDefault="001C74F3">
      <w:pPr>
        <w:spacing w:after="0" w:line="240" w:lineRule="auto"/>
        <w:jc w:val="both"/>
        <w:rPr>
          <w:rFonts w:ascii="Times New Roman" w:hAnsi="Times New Roman" w:cs="Times New Roman"/>
        </w:rPr>
      </w:pPr>
      <w:r>
        <w:rPr>
          <w:rFonts w:ascii="Times New Roman" w:hAnsi="Times New Roman" w:cs="Times New Roman"/>
        </w:rPr>
        <w:t xml:space="preserve">Watts, R., 1973, The information contend of dividends, </w:t>
      </w:r>
      <w:r>
        <w:rPr>
          <w:rFonts w:ascii="Times New Roman" w:hAnsi="Times New Roman" w:cs="Times New Roman"/>
          <w:i/>
        </w:rPr>
        <w:t>Journal of Business</w:t>
      </w:r>
      <w:r>
        <w:rPr>
          <w:rFonts w:ascii="Times New Roman" w:hAnsi="Times New Roman" w:cs="Times New Roman"/>
        </w:rPr>
        <w:t>, 46, 191-211.</w:t>
      </w:r>
    </w:p>
    <w:p w:rsidR="00C251D6" w:rsidRDefault="00C251D6">
      <w:pPr>
        <w:spacing w:after="0" w:line="240" w:lineRule="auto"/>
        <w:jc w:val="both"/>
        <w:rPr>
          <w:rFonts w:ascii="Times New Roman" w:hAnsi="Times New Roman" w:cs="Times New Roman"/>
        </w:rPr>
      </w:pPr>
    </w:p>
    <w:p w:rsidR="00C251D6" w:rsidRDefault="001C74F3">
      <w:pPr>
        <w:spacing w:after="0" w:line="240" w:lineRule="auto"/>
        <w:jc w:val="both"/>
        <w:rPr>
          <w:rFonts w:ascii="Times New Roman" w:hAnsi="Times New Roman" w:cs="Times New Roman"/>
        </w:rPr>
      </w:pPr>
      <w:r>
        <w:rPr>
          <w:rFonts w:ascii="Times New Roman" w:hAnsi="Times New Roman" w:cs="Times New Roman"/>
        </w:rPr>
        <w:t xml:space="preserve">Yoon, P. S., and Starks L. T., 1995, Signaling, investment opportunities, and dividend announcements, </w:t>
      </w:r>
      <w:r>
        <w:rPr>
          <w:rFonts w:ascii="Times New Roman" w:hAnsi="Times New Roman" w:cs="Times New Roman"/>
          <w:i/>
          <w:iCs/>
        </w:rPr>
        <w:t xml:space="preserve">Review of Financial Studies, </w:t>
      </w:r>
      <w:r>
        <w:rPr>
          <w:rFonts w:ascii="Times New Roman" w:hAnsi="Times New Roman" w:cs="Times New Roman"/>
        </w:rPr>
        <w:t>8, 995 – 1018.</w:t>
      </w:r>
    </w:p>
    <w:p w:rsidR="00C251D6" w:rsidRDefault="00C251D6">
      <w:pPr>
        <w:spacing w:after="0" w:line="240" w:lineRule="auto"/>
        <w:jc w:val="both"/>
      </w:pPr>
    </w:p>
    <w:p w:rsidR="00C251D6" w:rsidRDefault="00C251D6">
      <w:pPr>
        <w:spacing w:after="0" w:line="240" w:lineRule="auto"/>
        <w:jc w:val="both"/>
      </w:pPr>
    </w:p>
    <w:p w:rsidR="00C251D6" w:rsidRDefault="00C251D6"/>
    <w:sectPr w:rsidR="00C251D6" w:rsidSect="00A76263">
      <w:footerReference w:type="default" r:id="rId8"/>
      <w:pgSz w:w="12240" w:h="15840"/>
      <w:pgMar w:top="1440" w:right="1440" w:bottom="1440" w:left="1440" w:header="0" w:footer="45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BA" w:rsidRDefault="00FB19BA">
      <w:pPr>
        <w:spacing w:after="0" w:line="240" w:lineRule="auto"/>
      </w:pPr>
      <w:r>
        <w:separator/>
      </w:r>
    </w:p>
  </w:endnote>
  <w:endnote w:type="continuationSeparator" w:id="1">
    <w:p w:rsidR="00FB19BA" w:rsidRDefault="00FB1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2" w:rsidRDefault="00CE1FC2">
    <w:pPr>
      <w:pStyle w:val="Footer1"/>
      <w:jc w:val="right"/>
    </w:pPr>
    <w:fldSimple w:instr="PAGE">
      <w:r w:rsidR="00365375">
        <w:rPr>
          <w:noProof/>
        </w:rPr>
        <w:t>1</w:t>
      </w:r>
    </w:fldSimple>
  </w:p>
  <w:p w:rsidR="00CE1FC2" w:rsidRDefault="00CE1FC2">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BA" w:rsidRDefault="00FB19BA">
      <w:pPr>
        <w:spacing w:after="0" w:line="240" w:lineRule="auto"/>
      </w:pPr>
      <w:r>
        <w:separator/>
      </w:r>
    </w:p>
  </w:footnote>
  <w:footnote w:type="continuationSeparator" w:id="1">
    <w:p w:rsidR="00FB19BA" w:rsidRDefault="00FB19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51D6"/>
    <w:rsid w:val="00001857"/>
    <w:rsid w:val="0001129C"/>
    <w:rsid w:val="00013EB6"/>
    <w:rsid w:val="00017AF2"/>
    <w:rsid w:val="0006007D"/>
    <w:rsid w:val="000708BA"/>
    <w:rsid w:val="000741B5"/>
    <w:rsid w:val="00075BE2"/>
    <w:rsid w:val="00076ECE"/>
    <w:rsid w:val="0007753D"/>
    <w:rsid w:val="000A08DC"/>
    <w:rsid w:val="000C164F"/>
    <w:rsid w:val="000D0542"/>
    <w:rsid w:val="000D2312"/>
    <w:rsid w:val="00105F68"/>
    <w:rsid w:val="00176819"/>
    <w:rsid w:val="001C74F3"/>
    <w:rsid w:val="001D2EBF"/>
    <w:rsid w:val="001D6FDC"/>
    <w:rsid w:val="001E0948"/>
    <w:rsid w:val="001F2E61"/>
    <w:rsid w:val="002502AA"/>
    <w:rsid w:val="002A153C"/>
    <w:rsid w:val="002A3A44"/>
    <w:rsid w:val="002A42C9"/>
    <w:rsid w:val="002B6041"/>
    <w:rsid w:val="002C391E"/>
    <w:rsid w:val="002C6DA9"/>
    <w:rsid w:val="002D0A38"/>
    <w:rsid w:val="002E746C"/>
    <w:rsid w:val="0032329D"/>
    <w:rsid w:val="00327E08"/>
    <w:rsid w:val="003416D2"/>
    <w:rsid w:val="0034621C"/>
    <w:rsid w:val="003463A0"/>
    <w:rsid w:val="00362FE9"/>
    <w:rsid w:val="00365375"/>
    <w:rsid w:val="003805B3"/>
    <w:rsid w:val="00395684"/>
    <w:rsid w:val="003A73A0"/>
    <w:rsid w:val="003E22C8"/>
    <w:rsid w:val="003E79E4"/>
    <w:rsid w:val="003F0AC6"/>
    <w:rsid w:val="003F5CC2"/>
    <w:rsid w:val="003F750C"/>
    <w:rsid w:val="00400730"/>
    <w:rsid w:val="00405931"/>
    <w:rsid w:val="00405A96"/>
    <w:rsid w:val="00410C87"/>
    <w:rsid w:val="00452816"/>
    <w:rsid w:val="00465411"/>
    <w:rsid w:val="004900CC"/>
    <w:rsid w:val="00490A9A"/>
    <w:rsid w:val="004B3B9F"/>
    <w:rsid w:val="004B5255"/>
    <w:rsid w:val="004B7B6E"/>
    <w:rsid w:val="004C63B9"/>
    <w:rsid w:val="004D2BA1"/>
    <w:rsid w:val="004D7273"/>
    <w:rsid w:val="00504AE9"/>
    <w:rsid w:val="005155ED"/>
    <w:rsid w:val="00526E35"/>
    <w:rsid w:val="005276C1"/>
    <w:rsid w:val="00541F3F"/>
    <w:rsid w:val="00552D1B"/>
    <w:rsid w:val="00554A19"/>
    <w:rsid w:val="005766D3"/>
    <w:rsid w:val="00596054"/>
    <w:rsid w:val="005A54F6"/>
    <w:rsid w:val="00624289"/>
    <w:rsid w:val="006607E4"/>
    <w:rsid w:val="006756DB"/>
    <w:rsid w:val="00676A4E"/>
    <w:rsid w:val="0068220B"/>
    <w:rsid w:val="006A2645"/>
    <w:rsid w:val="006B0654"/>
    <w:rsid w:val="006D225A"/>
    <w:rsid w:val="006D3F93"/>
    <w:rsid w:val="006E3AFA"/>
    <w:rsid w:val="007078A0"/>
    <w:rsid w:val="00711FEC"/>
    <w:rsid w:val="00713D82"/>
    <w:rsid w:val="0073394B"/>
    <w:rsid w:val="0074706F"/>
    <w:rsid w:val="007571ED"/>
    <w:rsid w:val="00782EA3"/>
    <w:rsid w:val="00784091"/>
    <w:rsid w:val="00784803"/>
    <w:rsid w:val="00793923"/>
    <w:rsid w:val="0079772E"/>
    <w:rsid w:val="007B0B87"/>
    <w:rsid w:val="007B3EA1"/>
    <w:rsid w:val="007B781A"/>
    <w:rsid w:val="007C1DFA"/>
    <w:rsid w:val="007D1D0C"/>
    <w:rsid w:val="007E1EE2"/>
    <w:rsid w:val="007F1E67"/>
    <w:rsid w:val="007F7887"/>
    <w:rsid w:val="00842A65"/>
    <w:rsid w:val="008803D1"/>
    <w:rsid w:val="0088551A"/>
    <w:rsid w:val="00887459"/>
    <w:rsid w:val="00894E58"/>
    <w:rsid w:val="008C1569"/>
    <w:rsid w:val="008C2729"/>
    <w:rsid w:val="008C51D3"/>
    <w:rsid w:val="00905B74"/>
    <w:rsid w:val="0092189A"/>
    <w:rsid w:val="0092602A"/>
    <w:rsid w:val="00941DAF"/>
    <w:rsid w:val="00952423"/>
    <w:rsid w:val="00952C46"/>
    <w:rsid w:val="009736B7"/>
    <w:rsid w:val="009A75F4"/>
    <w:rsid w:val="009C738B"/>
    <w:rsid w:val="009D0728"/>
    <w:rsid w:val="009E0549"/>
    <w:rsid w:val="009E5AFC"/>
    <w:rsid w:val="00A27164"/>
    <w:rsid w:val="00A42F27"/>
    <w:rsid w:val="00A6184B"/>
    <w:rsid w:val="00A63F7D"/>
    <w:rsid w:val="00A76263"/>
    <w:rsid w:val="00A8188E"/>
    <w:rsid w:val="00A95A61"/>
    <w:rsid w:val="00AA3211"/>
    <w:rsid w:val="00AA5D91"/>
    <w:rsid w:val="00AB2919"/>
    <w:rsid w:val="00AD1D8F"/>
    <w:rsid w:val="00AF4638"/>
    <w:rsid w:val="00B111B2"/>
    <w:rsid w:val="00B737B0"/>
    <w:rsid w:val="00BA7713"/>
    <w:rsid w:val="00BB50EA"/>
    <w:rsid w:val="00BB6A97"/>
    <w:rsid w:val="00BC33E4"/>
    <w:rsid w:val="00BC5E2C"/>
    <w:rsid w:val="00BE4148"/>
    <w:rsid w:val="00BF0C09"/>
    <w:rsid w:val="00C13696"/>
    <w:rsid w:val="00C156A8"/>
    <w:rsid w:val="00C17A15"/>
    <w:rsid w:val="00C251D6"/>
    <w:rsid w:val="00C3307C"/>
    <w:rsid w:val="00C369AF"/>
    <w:rsid w:val="00C42370"/>
    <w:rsid w:val="00C43B8E"/>
    <w:rsid w:val="00C662AE"/>
    <w:rsid w:val="00C812D3"/>
    <w:rsid w:val="00CA719D"/>
    <w:rsid w:val="00CE1FC2"/>
    <w:rsid w:val="00D118D4"/>
    <w:rsid w:val="00D241D4"/>
    <w:rsid w:val="00D40C97"/>
    <w:rsid w:val="00D5410C"/>
    <w:rsid w:val="00D622C9"/>
    <w:rsid w:val="00D65630"/>
    <w:rsid w:val="00D801A9"/>
    <w:rsid w:val="00D832C5"/>
    <w:rsid w:val="00DA6705"/>
    <w:rsid w:val="00DB2000"/>
    <w:rsid w:val="00DE0017"/>
    <w:rsid w:val="00DE0746"/>
    <w:rsid w:val="00E36C1F"/>
    <w:rsid w:val="00E71C14"/>
    <w:rsid w:val="00E81E04"/>
    <w:rsid w:val="00ED7D6C"/>
    <w:rsid w:val="00F0334D"/>
    <w:rsid w:val="00F065F7"/>
    <w:rsid w:val="00F10E7D"/>
    <w:rsid w:val="00F20054"/>
    <w:rsid w:val="00F47471"/>
    <w:rsid w:val="00F5508E"/>
    <w:rsid w:val="00F67747"/>
    <w:rsid w:val="00F9779E"/>
    <w:rsid w:val="00FA4F6F"/>
    <w:rsid w:val="00FB19BA"/>
    <w:rsid w:val="00FB2645"/>
    <w:rsid w:val="00FB79F0"/>
    <w:rsid w:val="00FD0327"/>
    <w:rsid w:val="00FD6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93"/>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F611BA"/>
    <w:rPr>
      <w:rFonts w:ascii="Tahoma" w:hAnsi="Tahoma" w:cs="Tahoma"/>
      <w:sz w:val="16"/>
      <w:szCs w:val="16"/>
    </w:rPr>
  </w:style>
  <w:style w:type="character" w:styleId="Textodelmarcadordeposicin">
    <w:name w:val="Placeholder Text"/>
    <w:basedOn w:val="Fuentedeprrafopredeter"/>
    <w:uiPriority w:val="99"/>
    <w:semiHidden/>
    <w:rsid w:val="006014CC"/>
    <w:rPr>
      <w:color w:val="808080"/>
    </w:rPr>
  </w:style>
  <w:style w:type="character" w:customStyle="1" w:styleId="InternetLink">
    <w:name w:val="Internet Link"/>
    <w:basedOn w:val="Fuentedeprrafopredeter"/>
    <w:uiPriority w:val="99"/>
    <w:unhideWhenUsed/>
    <w:rsid w:val="00E56944"/>
    <w:rPr>
      <w:color w:val="0000FF"/>
      <w:u w:val="single"/>
      <w:lang w:val="uz-Cyrl-UZ" w:eastAsia="uz-Cyrl-UZ" w:bidi="uz-Cyrl-UZ"/>
    </w:rPr>
  </w:style>
  <w:style w:type="character" w:customStyle="1" w:styleId="HeaderChar">
    <w:name w:val="Header Char"/>
    <w:basedOn w:val="Fuentedeprrafopredeter"/>
    <w:link w:val="Header1"/>
    <w:uiPriority w:val="99"/>
    <w:semiHidden/>
    <w:rsid w:val="00E976BB"/>
  </w:style>
  <w:style w:type="character" w:customStyle="1" w:styleId="FooterChar">
    <w:name w:val="Footer Char"/>
    <w:basedOn w:val="Fuentedeprrafopredeter"/>
    <w:link w:val="Footer1"/>
    <w:uiPriority w:val="99"/>
    <w:rsid w:val="00E976BB"/>
  </w:style>
  <w:style w:type="paragraph" w:customStyle="1" w:styleId="Heading">
    <w:name w:val="Heading"/>
    <w:basedOn w:val="Normal"/>
    <w:next w:val="TextBody"/>
    <w:rsid w:val="0051532A"/>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51532A"/>
    <w:pPr>
      <w:spacing w:after="140" w:line="288" w:lineRule="auto"/>
    </w:pPr>
  </w:style>
  <w:style w:type="paragraph" w:styleId="Lista">
    <w:name w:val="List"/>
    <w:basedOn w:val="TextBody"/>
    <w:rsid w:val="0051532A"/>
    <w:rPr>
      <w:rFonts w:cs="FreeSans"/>
    </w:rPr>
  </w:style>
  <w:style w:type="paragraph" w:customStyle="1" w:styleId="Caption1">
    <w:name w:val="Caption1"/>
    <w:basedOn w:val="Normal"/>
    <w:rsid w:val="000A0C16"/>
    <w:pPr>
      <w:suppressLineNumbers/>
      <w:spacing w:before="120" w:after="120"/>
    </w:pPr>
    <w:rPr>
      <w:rFonts w:cs="FreeSans"/>
      <w:i/>
      <w:iCs/>
      <w:sz w:val="24"/>
      <w:szCs w:val="24"/>
    </w:rPr>
  </w:style>
  <w:style w:type="paragraph" w:customStyle="1" w:styleId="Index">
    <w:name w:val="Index"/>
    <w:basedOn w:val="Normal"/>
    <w:rsid w:val="0051532A"/>
    <w:pPr>
      <w:suppressLineNumbers/>
    </w:pPr>
    <w:rPr>
      <w:rFonts w:cs="FreeSans"/>
    </w:rPr>
  </w:style>
  <w:style w:type="paragraph" w:customStyle="1" w:styleId="Caption10">
    <w:name w:val="Caption1"/>
    <w:basedOn w:val="Normal"/>
    <w:rsid w:val="0051532A"/>
    <w:pPr>
      <w:suppressLineNumbers/>
      <w:spacing w:before="120" w:after="120"/>
    </w:pPr>
    <w:rPr>
      <w:rFonts w:cs="FreeSans"/>
      <w:i/>
      <w:iCs/>
      <w:sz w:val="24"/>
      <w:szCs w:val="24"/>
    </w:rPr>
  </w:style>
  <w:style w:type="paragraph" w:styleId="Textodeglobo">
    <w:name w:val="Balloon Text"/>
    <w:basedOn w:val="Normal"/>
    <w:link w:val="TextodegloboCar"/>
    <w:uiPriority w:val="99"/>
    <w:semiHidden/>
    <w:unhideWhenUsed/>
    <w:rsid w:val="00F611BA"/>
    <w:pPr>
      <w:spacing w:after="0" w:line="240" w:lineRule="auto"/>
    </w:pPr>
    <w:rPr>
      <w:rFonts w:ascii="Tahoma" w:hAnsi="Tahoma" w:cs="Tahoma"/>
      <w:sz w:val="16"/>
      <w:szCs w:val="16"/>
    </w:rPr>
  </w:style>
  <w:style w:type="paragraph" w:styleId="Prrafodelista">
    <w:name w:val="List Paragraph"/>
    <w:basedOn w:val="Normal"/>
    <w:uiPriority w:val="34"/>
    <w:qFormat/>
    <w:rsid w:val="00F611BA"/>
    <w:pPr>
      <w:ind w:left="720"/>
      <w:contextualSpacing/>
    </w:pPr>
  </w:style>
  <w:style w:type="paragraph" w:customStyle="1" w:styleId="Header1">
    <w:name w:val="Header1"/>
    <w:basedOn w:val="Normal"/>
    <w:link w:val="HeaderChar"/>
    <w:uiPriority w:val="99"/>
    <w:semiHidden/>
    <w:unhideWhenUsed/>
    <w:rsid w:val="00E976BB"/>
    <w:pPr>
      <w:tabs>
        <w:tab w:val="center" w:pos="4680"/>
        <w:tab w:val="right" w:pos="9360"/>
      </w:tabs>
      <w:spacing w:after="0" w:line="240" w:lineRule="auto"/>
    </w:pPr>
  </w:style>
  <w:style w:type="paragraph" w:customStyle="1" w:styleId="Footer1">
    <w:name w:val="Footer1"/>
    <w:basedOn w:val="Normal"/>
    <w:link w:val="FooterChar"/>
    <w:uiPriority w:val="99"/>
    <w:unhideWhenUsed/>
    <w:rsid w:val="00E976BB"/>
    <w:pPr>
      <w:tabs>
        <w:tab w:val="center" w:pos="4680"/>
        <w:tab w:val="right" w:pos="9360"/>
      </w:tabs>
      <w:spacing w:after="0" w:line="240" w:lineRule="auto"/>
    </w:pPr>
  </w:style>
  <w:style w:type="table" w:styleId="Tablaconcuadrcula">
    <w:name w:val="Table Grid"/>
    <w:basedOn w:val="Tablanormal"/>
    <w:uiPriority w:val="59"/>
    <w:rsid w:val="007E0A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76263"/>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A76263"/>
  </w:style>
  <w:style w:type="paragraph" w:styleId="Piedepgina">
    <w:name w:val="footer"/>
    <w:basedOn w:val="Normal"/>
    <w:link w:val="PiedepginaCar"/>
    <w:uiPriority w:val="99"/>
    <w:unhideWhenUsed/>
    <w:rsid w:val="00A76263"/>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A76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93"/>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F611BA"/>
    <w:rPr>
      <w:rFonts w:ascii="Tahoma" w:hAnsi="Tahoma" w:cs="Tahoma"/>
      <w:sz w:val="16"/>
      <w:szCs w:val="16"/>
    </w:rPr>
  </w:style>
  <w:style w:type="character" w:styleId="PlaceholderText">
    <w:name w:val="Placeholder Text"/>
    <w:basedOn w:val="DefaultParagraphFont"/>
    <w:uiPriority w:val="99"/>
    <w:semiHidden/>
    <w:rsid w:val="006014CC"/>
    <w:rPr>
      <w:color w:val="808080"/>
    </w:rPr>
  </w:style>
  <w:style w:type="character" w:customStyle="1" w:styleId="InternetLink">
    <w:name w:val="Internet Link"/>
    <w:basedOn w:val="DefaultParagraphFont"/>
    <w:uiPriority w:val="99"/>
    <w:unhideWhenUsed/>
    <w:rsid w:val="00E56944"/>
    <w:rPr>
      <w:color w:val="0000FF"/>
      <w:u w:val="single"/>
      <w:lang w:val="uz-Cyrl-UZ" w:eastAsia="uz-Cyrl-UZ" w:bidi="uz-Cyrl-UZ"/>
    </w:rPr>
  </w:style>
  <w:style w:type="character" w:customStyle="1" w:styleId="HeaderChar">
    <w:name w:val="Header Char"/>
    <w:basedOn w:val="DefaultParagraphFont"/>
    <w:link w:val="Header1"/>
    <w:uiPriority w:val="99"/>
    <w:semiHidden/>
    <w:rsid w:val="00E976BB"/>
  </w:style>
  <w:style w:type="character" w:customStyle="1" w:styleId="FooterChar">
    <w:name w:val="Footer Char"/>
    <w:basedOn w:val="DefaultParagraphFont"/>
    <w:link w:val="Footer1"/>
    <w:uiPriority w:val="99"/>
    <w:rsid w:val="00E976BB"/>
  </w:style>
  <w:style w:type="paragraph" w:customStyle="1" w:styleId="Heading">
    <w:name w:val="Heading"/>
    <w:basedOn w:val="Normal"/>
    <w:next w:val="TextBody"/>
    <w:rsid w:val="0051532A"/>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51532A"/>
    <w:pPr>
      <w:spacing w:after="140" w:line="288" w:lineRule="auto"/>
    </w:pPr>
  </w:style>
  <w:style w:type="paragraph" w:styleId="List">
    <w:name w:val="List"/>
    <w:basedOn w:val="TextBody"/>
    <w:rsid w:val="0051532A"/>
    <w:rPr>
      <w:rFonts w:cs="FreeSans"/>
    </w:rPr>
  </w:style>
  <w:style w:type="paragraph" w:customStyle="1" w:styleId="Caption1">
    <w:name w:val="Caption1"/>
    <w:basedOn w:val="Normal"/>
    <w:rsid w:val="000A0C16"/>
    <w:pPr>
      <w:suppressLineNumbers/>
      <w:spacing w:before="120" w:after="120"/>
    </w:pPr>
    <w:rPr>
      <w:rFonts w:cs="FreeSans"/>
      <w:i/>
      <w:iCs/>
      <w:sz w:val="24"/>
      <w:szCs w:val="24"/>
    </w:rPr>
  </w:style>
  <w:style w:type="paragraph" w:customStyle="1" w:styleId="Index">
    <w:name w:val="Index"/>
    <w:basedOn w:val="Normal"/>
    <w:rsid w:val="0051532A"/>
    <w:pPr>
      <w:suppressLineNumbers/>
    </w:pPr>
    <w:rPr>
      <w:rFonts w:cs="FreeSans"/>
    </w:rPr>
  </w:style>
  <w:style w:type="paragraph" w:customStyle="1" w:styleId="Caption10">
    <w:name w:val="Caption1"/>
    <w:basedOn w:val="Normal"/>
    <w:rsid w:val="0051532A"/>
    <w:pPr>
      <w:suppressLineNumbers/>
      <w:spacing w:before="120" w:after="120"/>
    </w:pPr>
    <w:rPr>
      <w:rFonts w:cs="FreeSans"/>
      <w:i/>
      <w:iCs/>
      <w:sz w:val="24"/>
      <w:szCs w:val="24"/>
    </w:rPr>
  </w:style>
  <w:style w:type="paragraph" w:styleId="BalloonText">
    <w:name w:val="Balloon Text"/>
    <w:basedOn w:val="Normal"/>
    <w:link w:val="BalloonTextChar"/>
    <w:uiPriority w:val="99"/>
    <w:semiHidden/>
    <w:unhideWhenUsed/>
    <w:rsid w:val="00F611BA"/>
    <w:pPr>
      <w:spacing w:after="0" w:line="240" w:lineRule="auto"/>
    </w:pPr>
    <w:rPr>
      <w:rFonts w:ascii="Tahoma" w:hAnsi="Tahoma" w:cs="Tahoma"/>
      <w:sz w:val="16"/>
      <w:szCs w:val="16"/>
    </w:rPr>
  </w:style>
  <w:style w:type="paragraph" w:styleId="ListParagraph">
    <w:name w:val="List Paragraph"/>
    <w:basedOn w:val="Normal"/>
    <w:uiPriority w:val="34"/>
    <w:qFormat/>
    <w:rsid w:val="00F611BA"/>
    <w:pPr>
      <w:ind w:left="720"/>
      <w:contextualSpacing/>
    </w:pPr>
  </w:style>
  <w:style w:type="paragraph" w:customStyle="1" w:styleId="Header1">
    <w:name w:val="Header1"/>
    <w:basedOn w:val="Normal"/>
    <w:link w:val="HeaderChar"/>
    <w:uiPriority w:val="99"/>
    <w:semiHidden/>
    <w:unhideWhenUsed/>
    <w:rsid w:val="00E976BB"/>
    <w:pPr>
      <w:tabs>
        <w:tab w:val="center" w:pos="4680"/>
        <w:tab w:val="right" w:pos="9360"/>
      </w:tabs>
      <w:spacing w:after="0" w:line="240" w:lineRule="auto"/>
    </w:pPr>
  </w:style>
  <w:style w:type="paragraph" w:customStyle="1" w:styleId="Footer1">
    <w:name w:val="Footer1"/>
    <w:basedOn w:val="Normal"/>
    <w:link w:val="FooterChar"/>
    <w:uiPriority w:val="99"/>
    <w:unhideWhenUsed/>
    <w:rsid w:val="00E976BB"/>
    <w:pPr>
      <w:tabs>
        <w:tab w:val="center" w:pos="4680"/>
        <w:tab w:val="right" w:pos="9360"/>
      </w:tabs>
      <w:spacing w:after="0" w:line="240" w:lineRule="auto"/>
    </w:pPr>
  </w:style>
  <w:style w:type="table" w:styleId="TableGrid">
    <w:name w:val="Table Grid"/>
    <w:basedOn w:val="TableNormal"/>
    <w:uiPriority w:val="59"/>
    <w:rsid w:val="007E0AF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1"/>
    <w:uiPriority w:val="99"/>
    <w:unhideWhenUsed/>
    <w:rsid w:val="00A76263"/>
    <w:pPr>
      <w:tabs>
        <w:tab w:val="center" w:pos="4320"/>
        <w:tab w:val="right" w:pos="8640"/>
      </w:tabs>
      <w:spacing w:after="0" w:line="240" w:lineRule="auto"/>
    </w:pPr>
  </w:style>
  <w:style w:type="character" w:customStyle="1" w:styleId="HeaderChar1">
    <w:name w:val="Header Char1"/>
    <w:basedOn w:val="DefaultParagraphFont"/>
    <w:link w:val="Header"/>
    <w:uiPriority w:val="99"/>
    <w:rsid w:val="00A76263"/>
  </w:style>
  <w:style w:type="paragraph" w:styleId="Footer">
    <w:name w:val="footer"/>
    <w:basedOn w:val="Normal"/>
    <w:link w:val="FooterChar1"/>
    <w:uiPriority w:val="99"/>
    <w:unhideWhenUsed/>
    <w:rsid w:val="00A76263"/>
    <w:pPr>
      <w:tabs>
        <w:tab w:val="center" w:pos="4320"/>
        <w:tab w:val="right" w:pos="8640"/>
      </w:tabs>
      <w:spacing w:after="0" w:line="240" w:lineRule="auto"/>
    </w:pPr>
  </w:style>
  <w:style w:type="character" w:customStyle="1" w:styleId="FooterChar1">
    <w:name w:val="Footer Char1"/>
    <w:basedOn w:val="DefaultParagraphFont"/>
    <w:link w:val="Footer"/>
    <w:uiPriority w:val="99"/>
    <w:rsid w:val="00A762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wc.com/min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72C3-08BF-7144-8752-40A7A80B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4611</Words>
  <Characters>26288</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UPRRP</Company>
  <LinksUpToDate>false</LinksUpToDate>
  <CharactersWithSpaces>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ACERO</dc:creator>
  <cp:lastModifiedBy>JOSE ACERO</cp:lastModifiedBy>
  <cp:revision>5</cp:revision>
  <dcterms:created xsi:type="dcterms:W3CDTF">2015-03-31T23:23:00Z</dcterms:created>
  <dcterms:modified xsi:type="dcterms:W3CDTF">2015-04-01T00:09:00Z</dcterms:modified>
  <dc:language>en-US</dc:language>
</cp:coreProperties>
</file>