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66CF0" w14:textId="77777777" w:rsidR="00400CD8" w:rsidRDefault="00400CD8" w:rsidP="00B004D9">
      <w:pPr>
        <w:pBdr>
          <w:bottom w:val="single" w:sz="12" w:space="1" w:color="auto"/>
        </w:pBdr>
        <w:spacing w:after="0"/>
        <w:ind w:firstLine="708"/>
        <w:jc w:val="center"/>
        <w:rPr>
          <w:rFonts w:ascii="Palatino Linotype" w:hAnsi="Palatino Linotype"/>
          <w:sz w:val="36"/>
          <w:szCs w:val="36"/>
          <w:lang w:val="es-ES"/>
        </w:rPr>
      </w:pPr>
      <w:r w:rsidRPr="00400CD8">
        <w:rPr>
          <w:rFonts w:ascii="Palatino Linotype" w:hAnsi="Palatino Linotype"/>
          <w:sz w:val="36"/>
          <w:szCs w:val="36"/>
          <w:lang w:val="es-ES"/>
        </w:rPr>
        <w:t>La influencia de los conflictos sociales sobre el valor de la empresa</w:t>
      </w:r>
    </w:p>
    <w:p w14:paraId="26D56345" w14:textId="77777777" w:rsidR="00870E0F" w:rsidRDefault="00870E0F" w:rsidP="00870E0F">
      <w:pPr>
        <w:jc w:val="center"/>
        <w:rPr>
          <w:rFonts w:ascii="Palatino Linotype" w:hAnsi="Palatino Linotype"/>
          <w:b/>
        </w:rPr>
      </w:pPr>
      <w:bookmarkStart w:id="0" w:name="_GoBack"/>
      <w:bookmarkEnd w:id="0"/>
    </w:p>
    <w:p w14:paraId="634E09DB" w14:textId="5676B6A1" w:rsidR="00870E0F" w:rsidRDefault="00734BFB" w:rsidP="00542F9B">
      <w:pPr>
        <w:pStyle w:val="Ttulo1"/>
        <w:tabs>
          <w:tab w:val="left" w:pos="426"/>
        </w:tabs>
      </w:pPr>
      <w:r>
        <w:t>INTRODUCCIÓN</w:t>
      </w:r>
    </w:p>
    <w:p w14:paraId="4D96CFAA" w14:textId="77777777" w:rsidR="004A5FAA" w:rsidRDefault="004A5FAA" w:rsidP="004A5FAA">
      <w:pPr>
        <w:spacing w:after="0"/>
        <w:jc w:val="both"/>
        <w:rPr>
          <w:rFonts w:ascii="Palatino Linotype" w:hAnsi="Palatino Linotype"/>
        </w:rPr>
      </w:pPr>
      <w:r w:rsidRPr="00DB03FF">
        <w:rPr>
          <w:rFonts w:ascii="Palatino Linotype" w:hAnsi="Palatino Linotype"/>
        </w:rPr>
        <w:t xml:space="preserve">Existe abundante literatura que ha estudiado la asociación entre las relaciones socialmente responsables de las firmas y su impacto en la creación de valor de las mismas,  pero aún no se encuentra consenso sobre una relación causal entre ambas variables (Servaes y Tamayo, 2013 ). Mientras que algunos autores encontraron un impacto positivo entre las acciones sociales desarrolladas por las firmas y su rentabilidad (Jo y Harjoto, 2011;    Cheung et al., 2009), otros autores concluyen que esa relación es muy débil o inexistente (Nelling y Webb, 2009 ; Mulyadi y Anwar, 2011). Como explicación a esta falta de acuerdo, se citan temas metodológicos y ausencia de una adecuada modelización de las relaciones  estudiadas (Margolis and Walsh, 2003). </w:t>
      </w:r>
    </w:p>
    <w:p w14:paraId="6378AB4F" w14:textId="77777777" w:rsidR="004A5FAA" w:rsidRPr="00DB03FF" w:rsidRDefault="004A5FAA" w:rsidP="004A5FAA">
      <w:pPr>
        <w:spacing w:after="0"/>
        <w:jc w:val="both"/>
        <w:rPr>
          <w:rFonts w:ascii="Palatino Linotype" w:hAnsi="Palatino Linotype"/>
        </w:rPr>
      </w:pPr>
    </w:p>
    <w:p w14:paraId="2DA97ECE" w14:textId="77777777" w:rsidR="004A5FAA" w:rsidRPr="00DB03FF" w:rsidRDefault="004A5FAA" w:rsidP="004A5FAA">
      <w:pPr>
        <w:spacing w:after="0"/>
        <w:jc w:val="both"/>
        <w:rPr>
          <w:rFonts w:ascii="Palatino Linotype" w:hAnsi="Palatino Linotype"/>
        </w:rPr>
      </w:pPr>
      <w:r w:rsidRPr="00DB03FF">
        <w:rPr>
          <w:rFonts w:ascii="Palatino Linotype" w:hAnsi="Palatino Linotype"/>
        </w:rPr>
        <w:t>En este panorama aún no aclarado se encuentra que empresas que extraen recursos naturales a gran escala  y que pueden generar conflictos en las comunidades en donde operan  (Hilson, 2002; Bridge, 2004), necesitan conocer si la aprobación de la comunidad puede influir en el valor de la empresa. Esta necesidad es mayor en los proyectos de minería y extracción de hidrocarburos, en donde la literatura indica que este tipo de proyectos generan conflictos civiles que afectan a la evolución de los proyectos (Ross, 2006; Bernauer, et al., 2012).</w:t>
      </w:r>
    </w:p>
    <w:p w14:paraId="2750D4DC" w14:textId="77777777" w:rsidR="004A5FAA" w:rsidRDefault="004A5FAA" w:rsidP="004A5FAA">
      <w:pPr>
        <w:spacing w:after="0"/>
        <w:jc w:val="both"/>
        <w:rPr>
          <w:rFonts w:ascii="Palatino Linotype" w:hAnsi="Palatino Linotype"/>
        </w:rPr>
      </w:pPr>
    </w:p>
    <w:p w14:paraId="5A727AB4" w14:textId="77777777" w:rsidR="004A5FAA" w:rsidRPr="00DB03FF" w:rsidRDefault="004A5FAA" w:rsidP="004A5FAA">
      <w:pPr>
        <w:spacing w:after="0"/>
        <w:jc w:val="both"/>
        <w:rPr>
          <w:rFonts w:ascii="Palatino Linotype" w:hAnsi="Palatino Linotype"/>
        </w:rPr>
      </w:pPr>
      <w:r w:rsidRPr="00DB03FF">
        <w:rPr>
          <w:rFonts w:ascii="Palatino Linotype" w:hAnsi="Palatino Linotype"/>
        </w:rPr>
        <w:t xml:space="preserve">Sin embargo, la revisión de la literatura muestra que la mayoría de investigaciones enfatizan el estudio de los factores que explican el capital social, o la aprobación continua de la comunidad local y otros grupos de interés  (Prno, 2013; Thomson y Boutilier, 2011; Moffat y Zhang, 2014), pero dejan de lado el estudio de sus efectos sobre algunos stakeholders involucrados. Para contribuir a cerrar esta brecha conceptual, este estudio busca analizar el efecto del capital social sobre la empresa, como uno de los stakeholders involucrados. </w:t>
      </w:r>
    </w:p>
    <w:p w14:paraId="6302C99F" w14:textId="77777777" w:rsidR="004A5FAA" w:rsidRDefault="004A5FAA" w:rsidP="004A5FAA">
      <w:pPr>
        <w:spacing w:after="0"/>
        <w:jc w:val="both"/>
        <w:rPr>
          <w:rFonts w:ascii="Palatino Linotype" w:hAnsi="Palatino Linotype"/>
        </w:rPr>
      </w:pPr>
    </w:p>
    <w:p w14:paraId="74DA2B5F" w14:textId="77777777" w:rsidR="004A5FAA" w:rsidRPr="00DB03FF" w:rsidRDefault="004A5FAA" w:rsidP="004A5FAA">
      <w:pPr>
        <w:spacing w:after="0"/>
        <w:jc w:val="both"/>
        <w:rPr>
          <w:rFonts w:ascii="Palatino Linotype" w:hAnsi="Palatino Linotype"/>
        </w:rPr>
      </w:pPr>
      <w:r w:rsidRPr="00DB03FF">
        <w:rPr>
          <w:rFonts w:ascii="Palatino Linotype" w:hAnsi="Palatino Linotype"/>
        </w:rPr>
        <w:t xml:space="preserve">Desde una perspectiva teórica es importante conocer la aprobación social de las actividades mineras de las empresas, pues existe una controversia entre la teoría económica tradicional y la teoría de la maldición de los recursos, sobre el rol de los recursos naturales en el desarrollo económico regional (Wen, 2011). Desde una perspectiva aplicada, esta relación que aún no ha sido aclarada por los investigadores, genera </w:t>
      </w:r>
      <w:r w:rsidRPr="00DB03FF">
        <w:rPr>
          <w:rFonts w:ascii="Palatino Linotype" w:hAnsi="Palatino Linotype"/>
        </w:rPr>
        <w:lastRenderedPageBreak/>
        <w:t>desconfianza por parte de la comunidad sobre los proyectos de las empresas mineras en dichos países. Por lo tanto, las empresas necesitan conocer cómo desarrollar la aceptación  social de las comunidades ante sus operaciones extractivas de recursos. Sobre todo, considerando que estudios exploratorios previos indican no todas las operaciones mineras presentan relaciones igualmente conflictivas con el entorno local. Y que es posible que la conflictividad dependa menos del contexto social e institucional y más de la habilidad de las empresas mineras para manejar los conflictos y evitar que se conviertan en protestas sociales (Vargas, 2013).</w:t>
      </w:r>
    </w:p>
    <w:p w14:paraId="7CFDC076" w14:textId="77777777" w:rsidR="004A5FAA" w:rsidRDefault="004A5FAA" w:rsidP="004A5FAA">
      <w:pPr>
        <w:spacing w:after="0"/>
        <w:jc w:val="both"/>
        <w:rPr>
          <w:rFonts w:ascii="Palatino Linotype" w:hAnsi="Palatino Linotype"/>
        </w:rPr>
      </w:pPr>
    </w:p>
    <w:p w14:paraId="70BECF80" w14:textId="460AEB40" w:rsidR="004A5FAA" w:rsidRPr="00DB03FF" w:rsidRDefault="004A5FAA" w:rsidP="004A5FAA">
      <w:pPr>
        <w:spacing w:after="0"/>
        <w:jc w:val="both"/>
        <w:rPr>
          <w:rFonts w:ascii="Palatino Linotype" w:hAnsi="Palatino Linotype"/>
        </w:rPr>
      </w:pPr>
      <w:r w:rsidRPr="00DB03FF">
        <w:rPr>
          <w:rFonts w:ascii="Palatino Linotype" w:hAnsi="Palatino Linotype"/>
        </w:rPr>
        <w:t>Dentro de este panorama, la literatura muestra un interés creciente de los autores para evaluar si existe una relación entre la aprobación de la comunidad o ausencia de esta (conflicto sociales) y el valor de las empresas que allí operan (entre algunos, ver Goldman Sachs, 2008; Kemp, et al., 2010; Paine, 2003). Como resultado de este interés, se ha encontrado que si la empresa desarrolla buenas relaciones con la comunidad, éstas se convierten en un tipo de “seguro”. El cual amortigua los efectos negativos de cualquier evento adverso sobre el precio de la acción (Dorobantu, et al., 2012; Henisz, et al., 201</w:t>
      </w:r>
      <w:r w:rsidR="00641F53">
        <w:rPr>
          <w:rFonts w:ascii="Palatino Linotype" w:hAnsi="Palatino Linotype"/>
        </w:rPr>
        <w:t>4</w:t>
      </w:r>
      <w:r w:rsidRPr="00DB03FF">
        <w:rPr>
          <w:rFonts w:ascii="Palatino Linotype" w:hAnsi="Palatino Linotype"/>
        </w:rPr>
        <w:t>). Por otra parte, también se ha encontrado que cuando no existe aprobación de la comunidad, sino una relación de conflicto, éste representa un costo en el valor de la empresa (Franks, et al., 201</w:t>
      </w:r>
      <w:r w:rsidR="00C773BB">
        <w:rPr>
          <w:rFonts w:ascii="Palatino Linotype" w:hAnsi="Palatino Linotype"/>
        </w:rPr>
        <w:t>3</w:t>
      </w:r>
      <w:r w:rsidRPr="00DB03FF">
        <w:rPr>
          <w:rFonts w:ascii="Palatino Linotype" w:hAnsi="Palatino Linotype"/>
        </w:rPr>
        <w:t>; Ross, 2006; Bernauer, et al., 2012; Muradian, et al., 2003; Hilson y Yakovleva, 200</w:t>
      </w:r>
      <w:r w:rsidR="00641F53">
        <w:rPr>
          <w:rFonts w:ascii="Palatino Linotype" w:hAnsi="Palatino Linotype"/>
        </w:rPr>
        <w:t>6</w:t>
      </w:r>
      <w:r w:rsidRPr="00DB03FF">
        <w:rPr>
          <w:rFonts w:ascii="Palatino Linotype" w:hAnsi="Palatino Linotype"/>
        </w:rPr>
        <w:t>).</w:t>
      </w:r>
    </w:p>
    <w:p w14:paraId="2DCD57B1" w14:textId="77777777" w:rsidR="004A5FAA" w:rsidRDefault="004A5FAA" w:rsidP="004A5FAA">
      <w:pPr>
        <w:spacing w:after="0"/>
        <w:jc w:val="both"/>
        <w:rPr>
          <w:rFonts w:ascii="Palatino Linotype" w:hAnsi="Palatino Linotype"/>
        </w:rPr>
      </w:pPr>
    </w:p>
    <w:p w14:paraId="632B423B" w14:textId="77777777" w:rsidR="004A5FAA" w:rsidRPr="00DB03FF" w:rsidRDefault="004A5FAA" w:rsidP="004A5FAA">
      <w:pPr>
        <w:spacing w:after="0"/>
        <w:jc w:val="both"/>
        <w:rPr>
          <w:rFonts w:ascii="Palatino Linotype" w:hAnsi="Palatino Linotype"/>
        </w:rPr>
      </w:pPr>
      <w:r w:rsidRPr="00DB03FF">
        <w:rPr>
          <w:rFonts w:ascii="Palatino Linotype" w:hAnsi="Palatino Linotype"/>
        </w:rPr>
        <w:t>Cabe mencionar que las investigaciones que estudian la licencia y el conflicto social se han centrado principalmente en países desarrollados. Y que en los países en desarrollo, las investigaciones están limitadas a estudios de caso (Nelsen y Scoble, 2006; Jepsen, et al. 2005; Kemp, 2010; Berkes, et al. 1991; Webler y Renn, 1995; Agrawal y Gibson, 1999; Cleaver, 1999; Rowe y Frewer, 2000).</w:t>
      </w:r>
    </w:p>
    <w:p w14:paraId="39A9FFA3" w14:textId="77777777" w:rsidR="004A5FAA" w:rsidRDefault="004A5FAA" w:rsidP="004A5FAA">
      <w:pPr>
        <w:spacing w:after="0"/>
        <w:jc w:val="both"/>
        <w:rPr>
          <w:rFonts w:ascii="Palatino Linotype" w:hAnsi="Palatino Linotype"/>
        </w:rPr>
      </w:pPr>
    </w:p>
    <w:p w14:paraId="0D98BE75" w14:textId="77777777" w:rsidR="004A5FAA" w:rsidRPr="00DB03FF" w:rsidRDefault="004A5FAA" w:rsidP="004A5FAA">
      <w:pPr>
        <w:spacing w:after="0"/>
        <w:jc w:val="both"/>
        <w:rPr>
          <w:rFonts w:ascii="Palatino Linotype" w:hAnsi="Palatino Linotype"/>
        </w:rPr>
      </w:pPr>
      <w:r w:rsidRPr="00DB03FF">
        <w:rPr>
          <w:rFonts w:ascii="Palatino Linotype" w:hAnsi="Palatino Linotype"/>
        </w:rPr>
        <w:t xml:space="preserve">Para cerrar estas brechas, esta investigación presenta un modelo que será validado en el Perú. En este país, la minería constituye una fuente importante de ingresos pues  genera casi el 50% de las divisas que ingresa el estado peruano, brinda ocupación a un gran número de habitantes de las tres regiones naturales y contribuyen al desarrollo regional </w:t>
      </w:r>
      <w:r w:rsidRPr="007F2689">
        <w:rPr>
          <w:rFonts w:ascii="Palatino Linotype" w:hAnsi="Palatino Linotype"/>
        </w:rPr>
        <w:t>(ACOMIPE</w:t>
      </w:r>
      <w:r w:rsidRPr="00DB03FF">
        <w:rPr>
          <w:rFonts w:ascii="Palatino Linotype" w:hAnsi="Palatino Linotype"/>
        </w:rPr>
        <w:t>, 2104). Asimismo, el 30% del crecimiento de este país se debe a las fuertes inversiones y aumento de producción minera (Ministerio de Energía y Minas del Perú, 2013). Por tanto, la investigación en otro contexto, contribuirá a expandir el poder de generalización de los hallazgos teóricos y empíricos sobre el tema.</w:t>
      </w:r>
    </w:p>
    <w:p w14:paraId="49C0DDFD" w14:textId="77777777" w:rsidR="004A5FAA" w:rsidRDefault="004A5FAA" w:rsidP="004A5FAA">
      <w:pPr>
        <w:spacing w:after="0"/>
        <w:jc w:val="both"/>
        <w:rPr>
          <w:rFonts w:ascii="Palatino Linotype" w:hAnsi="Palatino Linotype"/>
        </w:rPr>
      </w:pPr>
    </w:p>
    <w:p w14:paraId="26C998D9" w14:textId="37420F78" w:rsidR="004A5FAA" w:rsidRDefault="004A5FAA" w:rsidP="004A5FAA">
      <w:pPr>
        <w:spacing w:after="0"/>
        <w:jc w:val="both"/>
        <w:rPr>
          <w:rFonts w:ascii="Palatino Linotype" w:hAnsi="Palatino Linotype"/>
        </w:rPr>
      </w:pPr>
      <w:r w:rsidRPr="00DB03FF">
        <w:rPr>
          <w:rFonts w:ascii="Palatino Linotype" w:hAnsi="Palatino Linotype"/>
        </w:rPr>
        <w:t xml:space="preserve">Dicho modelo está destinado a validar las hipótesis que relacionan el efecto del conflicto, y del capital social, en el valor de la empresa. Así, además de contrastar empíricamente las </w:t>
      </w:r>
      <w:r w:rsidRPr="00DB03FF">
        <w:rPr>
          <w:rFonts w:ascii="Palatino Linotype" w:hAnsi="Palatino Linotype"/>
        </w:rPr>
        <w:lastRenderedPageBreak/>
        <w:t>relaciones mencionadas solo en estudios de caso, también se integra un stakeholder que ha sido poco tratado por la teoría relacionada a nuestro tema de estudio.</w:t>
      </w:r>
      <w:r>
        <w:rPr>
          <w:rFonts w:ascii="Palatino Linotype" w:hAnsi="Palatino Linotype"/>
        </w:rPr>
        <w:t xml:space="preserve"> </w:t>
      </w:r>
      <w:r w:rsidRPr="00DB03FF">
        <w:rPr>
          <w:rFonts w:ascii="Palatino Linotype" w:hAnsi="Palatino Linotype"/>
        </w:rPr>
        <w:t xml:space="preserve">Se espera que los resultados obtenidos permitan seguir una línea de investigación importante, tanto para el sector académico como para el empresarial. En la cual se aborden temas relevantes como la gestión estratégica de los conflictos sociales en empresas internacionales, entre otros. Además, el análisis descrito en esta investigación se podría extender a otras industrias incluyendo construcción, petróleo y gas, agricultura, energía alternativa y agua.  </w:t>
      </w:r>
    </w:p>
    <w:p w14:paraId="7C584D3A" w14:textId="77777777" w:rsidR="004A5FAA" w:rsidRPr="00DB03FF" w:rsidRDefault="004A5FAA" w:rsidP="004A5FAA">
      <w:pPr>
        <w:spacing w:after="0"/>
        <w:jc w:val="both"/>
        <w:rPr>
          <w:rFonts w:ascii="Palatino Linotype" w:hAnsi="Palatino Linotype"/>
        </w:rPr>
      </w:pPr>
    </w:p>
    <w:p w14:paraId="1EF977E1" w14:textId="77777777" w:rsidR="004A5FAA" w:rsidRPr="00DB03FF" w:rsidRDefault="004A5FAA" w:rsidP="004A5FAA">
      <w:pPr>
        <w:spacing w:after="0"/>
        <w:jc w:val="both"/>
        <w:rPr>
          <w:rFonts w:ascii="Palatino Linotype" w:hAnsi="Palatino Linotype"/>
          <w:highlight w:val="yellow"/>
        </w:rPr>
      </w:pPr>
      <w:r w:rsidRPr="00DB03FF">
        <w:rPr>
          <w:rFonts w:ascii="Palatino Linotype" w:hAnsi="Palatino Linotype"/>
        </w:rPr>
        <w:t>El artículo está estructurado de la siguiente manera. La primera sección describe el marco conceptual en donde se presentan las principales relaciones entre conflicto social y valor de la empresa. Asimismo, en esta parte también se revisan los diferentes enfoques del capital social. La segunda sección está enfocada a la validación del modelo. En la tercera sección se analizan los principales resultados y en la parte final, se concluye discutiendo la contribución de este estudio a la literatura.</w:t>
      </w:r>
    </w:p>
    <w:p w14:paraId="2DDA9A27" w14:textId="77777777" w:rsidR="005462F8" w:rsidRPr="001C12AB" w:rsidRDefault="005462F8" w:rsidP="005462F8">
      <w:pPr>
        <w:jc w:val="both"/>
        <w:rPr>
          <w:rFonts w:ascii="Palatino Linotype" w:hAnsi="Palatino Linotype"/>
          <w:highlight w:val="yellow"/>
        </w:rPr>
      </w:pPr>
    </w:p>
    <w:p w14:paraId="4F14DA66" w14:textId="51FBAE97" w:rsidR="00870E0F" w:rsidRPr="00A8463A" w:rsidRDefault="00EE50B3" w:rsidP="007B4114">
      <w:pPr>
        <w:pStyle w:val="Ttulo1"/>
        <w:tabs>
          <w:tab w:val="left" w:pos="284"/>
        </w:tabs>
        <w:rPr>
          <w:rFonts w:ascii="Palatino Linotype" w:hAnsi="Palatino Linotype"/>
          <w:color w:val="548DD4" w:themeColor="text2" w:themeTint="99"/>
          <w:sz w:val="24"/>
          <w:szCs w:val="24"/>
        </w:rPr>
      </w:pPr>
      <w:r w:rsidRPr="00A8463A">
        <w:rPr>
          <w:rFonts w:ascii="Palatino Linotype" w:hAnsi="Palatino Linotype"/>
          <w:color w:val="548DD4" w:themeColor="text2" w:themeTint="99"/>
          <w:sz w:val="24"/>
          <w:szCs w:val="24"/>
        </w:rPr>
        <w:t xml:space="preserve">MARCO </w:t>
      </w:r>
      <w:r w:rsidR="002A5032" w:rsidRPr="00A8463A">
        <w:rPr>
          <w:rFonts w:ascii="Palatino Linotype" w:hAnsi="Palatino Linotype"/>
          <w:color w:val="548DD4" w:themeColor="text2" w:themeTint="99"/>
          <w:sz w:val="24"/>
          <w:szCs w:val="24"/>
        </w:rPr>
        <w:t>CONCEPTUAL</w:t>
      </w:r>
    </w:p>
    <w:p w14:paraId="7E35FE33" w14:textId="5C04C377" w:rsidR="00A8463A" w:rsidRPr="001C12AB" w:rsidRDefault="00C0626B" w:rsidP="004A5FAA">
      <w:pPr>
        <w:jc w:val="both"/>
        <w:rPr>
          <w:rFonts w:ascii="Palatino Linotype" w:hAnsi="Palatino Linotype"/>
        </w:rPr>
      </w:pPr>
      <w:r w:rsidRPr="00A8463A">
        <w:rPr>
          <w:rFonts w:ascii="Palatino Linotype" w:hAnsi="Palatino Linotype"/>
        </w:rPr>
        <w:t xml:space="preserve">Esta sección está compuesta por </w:t>
      </w:r>
      <w:r w:rsidR="00145983" w:rsidRPr="00A8463A">
        <w:rPr>
          <w:rFonts w:ascii="Palatino Linotype" w:hAnsi="Palatino Linotype"/>
        </w:rPr>
        <w:t>tres</w:t>
      </w:r>
      <w:r w:rsidRPr="00A8463A">
        <w:rPr>
          <w:rFonts w:ascii="Palatino Linotype" w:hAnsi="Palatino Linotype"/>
        </w:rPr>
        <w:t xml:space="preserve"> </w:t>
      </w:r>
      <w:r w:rsidR="00272904" w:rsidRPr="00A8463A">
        <w:rPr>
          <w:rFonts w:ascii="Palatino Linotype" w:hAnsi="Palatino Linotype"/>
        </w:rPr>
        <w:t>partes</w:t>
      </w:r>
      <w:r w:rsidRPr="00A8463A">
        <w:rPr>
          <w:rFonts w:ascii="Palatino Linotype" w:hAnsi="Palatino Linotype"/>
        </w:rPr>
        <w:t xml:space="preserve">. En la primera se </w:t>
      </w:r>
      <w:r w:rsidR="002A5032" w:rsidRPr="00A8463A">
        <w:rPr>
          <w:rFonts w:ascii="Palatino Linotype" w:hAnsi="Palatino Linotype"/>
        </w:rPr>
        <w:t xml:space="preserve">expone la problemática relacionada al </w:t>
      </w:r>
      <w:r w:rsidR="002A5032" w:rsidRPr="00A8463A">
        <w:rPr>
          <w:rFonts w:ascii="Palatino Linotype" w:hAnsi="Palatino Linotype"/>
          <w:b/>
        </w:rPr>
        <w:t>conflicto social</w:t>
      </w:r>
      <w:r w:rsidRPr="00A8463A">
        <w:rPr>
          <w:rFonts w:ascii="Palatino Linotype" w:hAnsi="Palatino Linotype"/>
          <w:b/>
        </w:rPr>
        <w:t xml:space="preserve">, </w:t>
      </w:r>
      <w:r w:rsidRPr="00A8463A">
        <w:rPr>
          <w:rFonts w:ascii="Palatino Linotype" w:hAnsi="Palatino Linotype"/>
        </w:rPr>
        <w:t>cuáles</w:t>
      </w:r>
      <w:r w:rsidR="00145983" w:rsidRPr="00A8463A">
        <w:rPr>
          <w:rFonts w:ascii="Palatino Linotype" w:hAnsi="Palatino Linotype"/>
        </w:rPr>
        <w:t xml:space="preserve"> son los</w:t>
      </w:r>
      <w:r w:rsidRPr="00A8463A">
        <w:rPr>
          <w:rFonts w:ascii="Palatino Linotype" w:hAnsi="Palatino Linotype"/>
        </w:rPr>
        <w:t xml:space="preserve"> factores </w:t>
      </w:r>
      <w:r w:rsidR="00145983" w:rsidRPr="00A8463A">
        <w:rPr>
          <w:rFonts w:ascii="Palatino Linotype" w:hAnsi="Palatino Linotype"/>
        </w:rPr>
        <w:t>de gestación y cuáles son</w:t>
      </w:r>
      <w:r w:rsidRPr="00A8463A">
        <w:rPr>
          <w:rFonts w:ascii="Palatino Linotype" w:hAnsi="Palatino Linotype"/>
        </w:rPr>
        <w:t xml:space="preserve"> </w:t>
      </w:r>
      <w:r w:rsidR="00145983" w:rsidRPr="00A8463A">
        <w:rPr>
          <w:rFonts w:ascii="Palatino Linotype" w:hAnsi="Palatino Linotype"/>
        </w:rPr>
        <w:t xml:space="preserve">sus posibles </w:t>
      </w:r>
      <w:r w:rsidRPr="00A8463A">
        <w:rPr>
          <w:rFonts w:ascii="Palatino Linotype" w:hAnsi="Palatino Linotype"/>
        </w:rPr>
        <w:t>efectos</w:t>
      </w:r>
      <w:r w:rsidR="00145983" w:rsidRPr="00A8463A">
        <w:rPr>
          <w:rFonts w:ascii="Palatino Linotype" w:hAnsi="Palatino Linotype"/>
        </w:rPr>
        <w:t xml:space="preserve">. En la segunda subsección, se define el capital social y su rol en mitigar los efectos del conflicto social; en particular, se investiga como el capital social podría moderar los efectos del conflicto social sobre el valor de la empresa. Finalmente, en la tercera subsección se describe las principales hipótesis de estudio y como estas se relacionan </w:t>
      </w:r>
      <w:r w:rsidR="002A5032" w:rsidRPr="00A8463A">
        <w:rPr>
          <w:rFonts w:ascii="Palatino Linotype" w:hAnsi="Palatino Linotype"/>
        </w:rPr>
        <w:t xml:space="preserve">con </w:t>
      </w:r>
      <w:r w:rsidR="00145983" w:rsidRPr="00A8463A">
        <w:rPr>
          <w:rFonts w:ascii="Palatino Linotype" w:hAnsi="Palatino Linotype"/>
        </w:rPr>
        <w:t xml:space="preserve">el modelo de investigación propuesto. </w:t>
      </w:r>
    </w:p>
    <w:p w14:paraId="2610F681" w14:textId="321D6A6A" w:rsidR="00272904" w:rsidRPr="00272904" w:rsidRDefault="00F77ACD" w:rsidP="00272904">
      <w:pPr>
        <w:jc w:val="both"/>
        <w:rPr>
          <w:rFonts w:ascii="Palatino Linotype" w:hAnsi="Palatino Linotype"/>
          <w:b/>
          <w:i/>
        </w:rPr>
      </w:pPr>
      <w:r>
        <w:rPr>
          <w:rFonts w:ascii="Palatino Linotype" w:hAnsi="Palatino Linotype"/>
          <w:b/>
          <w:i/>
        </w:rPr>
        <w:t xml:space="preserve">II.1-  El </w:t>
      </w:r>
      <w:r w:rsidR="00272904" w:rsidRPr="00272904">
        <w:rPr>
          <w:rFonts w:ascii="Palatino Linotype" w:hAnsi="Palatino Linotype"/>
          <w:b/>
          <w:i/>
        </w:rPr>
        <w:t>Conflicto social</w:t>
      </w:r>
    </w:p>
    <w:p w14:paraId="2C686BEC" w14:textId="42BC3342" w:rsidR="00272904" w:rsidRPr="00272904" w:rsidRDefault="00272904" w:rsidP="00272904">
      <w:pPr>
        <w:jc w:val="both"/>
        <w:rPr>
          <w:rFonts w:ascii="Palatino Linotype" w:hAnsi="Palatino Linotype"/>
        </w:rPr>
      </w:pPr>
      <w:r w:rsidRPr="00272904">
        <w:rPr>
          <w:rFonts w:ascii="Palatino Linotype" w:hAnsi="Palatino Linotype"/>
        </w:rPr>
        <w:t xml:space="preserve">El tema del conflicto social ha sido estudiado desde hace décadas y con diversas perspectivas.  Para algunos autores, este tema abarca una amplia gama de fenómenos: clases sociales, raciales, religiosos y conflictos entre comunidades, que se manifiestan en motines, rebeliones, desordenes civiles y similares (Coser </w:t>
      </w:r>
      <w:r w:rsidR="00034B9A" w:rsidRPr="00272904">
        <w:rPr>
          <w:rFonts w:ascii="Palatino Linotype" w:hAnsi="Palatino Linotype"/>
        </w:rPr>
        <w:t>1967)</w:t>
      </w:r>
      <w:r w:rsidRPr="00272904">
        <w:rPr>
          <w:rFonts w:ascii="Palatino Linotype" w:hAnsi="Palatino Linotype"/>
        </w:rPr>
        <w:t xml:space="preserve">. </w:t>
      </w:r>
    </w:p>
    <w:p w14:paraId="6B873132" w14:textId="35300B63" w:rsidR="00272904" w:rsidRPr="00272904" w:rsidRDefault="00272904" w:rsidP="00272904">
      <w:pPr>
        <w:jc w:val="both"/>
        <w:rPr>
          <w:rFonts w:ascii="Palatino Linotype" w:hAnsi="Palatino Linotype"/>
        </w:rPr>
      </w:pPr>
      <w:r w:rsidRPr="00272904">
        <w:rPr>
          <w:rFonts w:ascii="Palatino Linotype" w:hAnsi="Palatino Linotype"/>
        </w:rPr>
        <w:t xml:space="preserve">Asimismo, el tema puede integrar una serie de disciplinas, tales como la economía, la biología la historia, la ciencia política, la sociología, la antropología y la psicología. Por ello, el conflicto ha sido estudiado por diversas metodologías y técnicas, que van desde estudios de casos detallados a modelos matemáticos abstractos (Oberschall, </w:t>
      </w:r>
      <w:r w:rsidR="00034B9A" w:rsidRPr="00272904">
        <w:rPr>
          <w:rFonts w:ascii="Palatino Linotype" w:hAnsi="Palatino Linotype"/>
        </w:rPr>
        <w:t>1978)</w:t>
      </w:r>
      <w:r w:rsidRPr="00272904">
        <w:rPr>
          <w:rFonts w:ascii="Palatino Linotype" w:hAnsi="Palatino Linotype"/>
        </w:rPr>
        <w:t xml:space="preserve">. Según este autor,  el conflicto social se refiere al conflicto en el que las partes son un agregado de individuos (grupos, organizaciones, comunidades, y las multitudes),  en lugar de un solo </w:t>
      </w:r>
      <w:r w:rsidRPr="00272904">
        <w:rPr>
          <w:rFonts w:ascii="Palatino Linotype" w:hAnsi="Palatino Linotype"/>
        </w:rPr>
        <w:lastRenderedPageBreak/>
        <w:t>individuo, como en el caso de conflicto de roles. Así, se puede usar el conflicto grupal como sinónimo de conflicto social.</w:t>
      </w:r>
    </w:p>
    <w:p w14:paraId="45C73B96" w14:textId="09D0558B" w:rsidR="00272904" w:rsidRPr="00272904" w:rsidRDefault="00272904" w:rsidP="00272904">
      <w:pPr>
        <w:jc w:val="both"/>
        <w:rPr>
          <w:rFonts w:ascii="Palatino Linotype" w:hAnsi="Palatino Linotype"/>
        </w:rPr>
      </w:pPr>
      <w:r w:rsidRPr="00272904">
        <w:rPr>
          <w:rFonts w:ascii="Palatino Linotype" w:hAnsi="Palatino Linotype"/>
        </w:rPr>
        <w:t xml:space="preserve">Igualmente, hay diversas </w:t>
      </w:r>
      <w:r w:rsidRPr="008C6717">
        <w:rPr>
          <w:rFonts w:ascii="Palatino Linotype" w:hAnsi="Palatino Linotype"/>
          <w:b/>
        </w:rPr>
        <w:t>causas posibles</w:t>
      </w:r>
      <w:r w:rsidRPr="00272904">
        <w:rPr>
          <w:rFonts w:ascii="Palatino Linotype" w:hAnsi="Palatino Linotype"/>
        </w:rPr>
        <w:t xml:space="preserve"> de los conflictos sociales. Para Bowles and Gintis (</w:t>
      </w:r>
      <w:r w:rsidR="008C6717" w:rsidRPr="00272904">
        <w:rPr>
          <w:rFonts w:ascii="Palatino Linotype" w:hAnsi="Palatino Linotype"/>
        </w:rPr>
        <w:t>1988,</w:t>
      </w:r>
      <w:r w:rsidRPr="00272904">
        <w:rPr>
          <w:rFonts w:ascii="Palatino Linotype" w:hAnsi="Palatino Linotype"/>
        </w:rPr>
        <w:t xml:space="preserve"> </w:t>
      </w:r>
      <w:r w:rsidR="008C6717" w:rsidRPr="00272904">
        <w:rPr>
          <w:rFonts w:ascii="Palatino Linotype" w:hAnsi="Palatino Linotype"/>
        </w:rPr>
        <w:t>1990)</w:t>
      </w:r>
      <w:r w:rsidRPr="00272904">
        <w:rPr>
          <w:rFonts w:ascii="Palatino Linotype" w:hAnsi="Palatino Linotype"/>
        </w:rPr>
        <w:t>, el conflicto social surge por problemas políticos no resueltos. Según Knapp  (</w:t>
      </w:r>
      <w:r w:rsidR="008C6717" w:rsidRPr="00272904">
        <w:rPr>
          <w:rFonts w:ascii="Palatino Linotype" w:hAnsi="Palatino Linotype"/>
        </w:rPr>
        <w:t>1994)</w:t>
      </w:r>
      <w:r w:rsidRPr="00272904">
        <w:rPr>
          <w:rFonts w:ascii="Palatino Linotype" w:hAnsi="Palatino Linotype"/>
        </w:rPr>
        <w:t>, y siguiendo la perspectiva del fundador de la teoría moderna de conflicto (C. Wright Mills), las estructuras sociales son creadas por medio del conflicto entre personas con diferentes intereses y recursos. Y los individuos y recursos, a su vez, son influenciados por esas estructuras y por la distribución desigual del poder y los recursos en la sociedad.</w:t>
      </w:r>
    </w:p>
    <w:p w14:paraId="1C716DE3" w14:textId="5072DCDF" w:rsidR="00272904" w:rsidRPr="00272904" w:rsidRDefault="00272904" w:rsidP="00272904">
      <w:pPr>
        <w:jc w:val="both"/>
        <w:rPr>
          <w:rFonts w:ascii="Palatino Linotype" w:hAnsi="Palatino Linotype"/>
        </w:rPr>
      </w:pPr>
      <w:r w:rsidRPr="00272904">
        <w:rPr>
          <w:rFonts w:ascii="Palatino Linotype" w:hAnsi="Palatino Linotype"/>
        </w:rPr>
        <w:t>De acuerdo a Vahabi  (</w:t>
      </w:r>
      <w:r w:rsidR="008C6717" w:rsidRPr="00272904">
        <w:rPr>
          <w:rFonts w:ascii="Palatino Linotype" w:hAnsi="Palatino Linotype"/>
        </w:rPr>
        <w:t>20</w:t>
      </w:r>
      <w:r w:rsidR="00034B9A">
        <w:rPr>
          <w:rFonts w:ascii="Palatino Linotype" w:hAnsi="Palatino Linotype"/>
        </w:rPr>
        <w:t>10</w:t>
      </w:r>
      <w:r w:rsidR="008C6717" w:rsidRPr="00272904">
        <w:rPr>
          <w:rFonts w:ascii="Palatino Linotype" w:hAnsi="Palatino Linotype"/>
        </w:rPr>
        <w:t>)</w:t>
      </w:r>
      <w:r w:rsidRPr="00272904">
        <w:rPr>
          <w:rFonts w:ascii="Palatino Linotype" w:hAnsi="Palatino Linotype"/>
        </w:rPr>
        <w:t>, el conflicto social es una lucha de un grupo de personas por una causa común. Según este autor, los conflictos sociales tienen dos características principales. En primer lugar, a diferencia de los conflictos de tipo de mercado, los cuales se llevan a cabo dentro de un marco de intercambio voluntario, los conflictos sociales implican poder coercitivo y la dominación. En segundo lugar, se asume que en los conflictos sociales las personas luchan por "intereses comunes" y no sólo por sus intereses individuales.</w:t>
      </w:r>
    </w:p>
    <w:p w14:paraId="51C0C95E" w14:textId="151124FA" w:rsidR="00272904" w:rsidRPr="00272904" w:rsidRDefault="00272904" w:rsidP="00272904">
      <w:pPr>
        <w:jc w:val="both"/>
        <w:rPr>
          <w:rFonts w:ascii="Palatino Linotype" w:hAnsi="Palatino Linotype"/>
        </w:rPr>
      </w:pPr>
      <w:r w:rsidRPr="00272904">
        <w:rPr>
          <w:rFonts w:ascii="Palatino Linotype" w:hAnsi="Palatino Linotype"/>
        </w:rPr>
        <w:t>Para efectos de nuestro estudio, consideramos necesario revisar la literatura que se ocupa de las acciones de las poblaciones afectadas por conflictos generados por recursos extractivos o  no renovables. Pues, según  Berdal (</w:t>
      </w:r>
      <w:r w:rsidR="008C6717" w:rsidRPr="00272904">
        <w:rPr>
          <w:rFonts w:ascii="Palatino Linotype" w:hAnsi="Palatino Linotype"/>
        </w:rPr>
        <w:t>2003)</w:t>
      </w:r>
      <w:r w:rsidRPr="00272904">
        <w:rPr>
          <w:rFonts w:ascii="Palatino Linotype" w:hAnsi="Palatino Linotype"/>
        </w:rPr>
        <w:t xml:space="preserve"> este tipo de recursos naturales han adquirido una importancia creciente  como causas o impulsores de confli</w:t>
      </w:r>
      <w:r w:rsidR="008C6717">
        <w:rPr>
          <w:rFonts w:ascii="Palatino Linotype" w:hAnsi="Palatino Linotype"/>
        </w:rPr>
        <w:t xml:space="preserve">ctos sociales violentos (Berdal, </w:t>
      </w:r>
      <w:r w:rsidR="008C6717" w:rsidRPr="00272904">
        <w:rPr>
          <w:rFonts w:ascii="Palatino Linotype" w:hAnsi="Palatino Linotype"/>
        </w:rPr>
        <w:t>2003)</w:t>
      </w:r>
      <w:r w:rsidRPr="00272904">
        <w:rPr>
          <w:rFonts w:ascii="Palatino Linotype" w:hAnsi="Palatino Linotype"/>
        </w:rPr>
        <w:t>.</w:t>
      </w:r>
    </w:p>
    <w:p w14:paraId="6E440A92" w14:textId="6B74D555" w:rsidR="00272904" w:rsidRPr="00272904" w:rsidRDefault="00272904" w:rsidP="00272904">
      <w:pPr>
        <w:jc w:val="both"/>
        <w:rPr>
          <w:rFonts w:ascii="Palatino Linotype" w:hAnsi="Palatino Linotype"/>
        </w:rPr>
      </w:pPr>
      <w:r w:rsidRPr="00272904">
        <w:rPr>
          <w:rFonts w:ascii="Palatino Linotype" w:hAnsi="Palatino Linotype"/>
        </w:rPr>
        <w:t>Según Engel and López (</w:t>
      </w:r>
      <w:r w:rsidR="008C6717" w:rsidRPr="00272904">
        <w:rPr>
          <w:rFonts w:ascii="Palatino Linotype" w:hAnsi="Palatino Linotype"/>
        </w:rPr>
        <w:t>2008)</w:t>
      </w:r>
      <w:r w:rsidRPr="00272904">
        <w:rPr>
          <w:rFonts w:ascii="Palatino Linotype" w:hAnsi="Palatino Linotype"/>
        </w:rPr>
        <w:t xml:space="preserve"> los estudios para analizar las interacciones entre las comunidades y las empresas, son escasos, aunque se pueden apreciar dos perspectivas. En la primera, se enfatiza en los conflictos sobre los derechos de propiedad y se centra en temas de conflicto y no en la posibilidad de negociación. Dentro de esta perspectiva se analizan los conflictos entre las empresas y los grupos ambientalistas (Burton, 200</w:t>
      </w:r>
      <w:r w:rsidR="004559A5">
        <w:rPr>
          <w:rFonts w:ascii="Palatino Linotype" w:hAnsi="Palatino Linotype"/>
        </w:rPr>
        <w:t>4</w:t>
      </w:r>
      <w:r w:rsidRPr="00272904">
        <w:rPr>
          <w:rFonts w:ascii="Palatino Linotype" w:hAnsi="Palatino Linotype"/>
        </w:rPr>
        <w:t xml:space="preserve">), los conflictos entre los propietarios y ocupantes ilegales (Alston, Libecap and Mueller, 1999) y los propietarios de tierras y los posibles invasores (Hotte, 2001). </w:t>
      </w:r>
    </w:p>
    <w:p w14:paraId="69A7EB40" w14:textId="4F432B15" w:rsidR="00272904" w:rsidRPr="00272904" w:rsidRDefault="00272904" w:rsidP="00272904">
      <w:pPr>
        <w:jc w:val="both"/>
        <w:rPr>
          <w:rFonts w:ascii="Palatino Linotype" w:hAnsi="Palatino Linotype"/>
        </w:rPr>
      </w:pPr>
      <w:r w:rsidRPr="00272904">
        <w:rPr>
          <w:rFonts w:ascii="Palatino Linotype" w:hAnsi="Palatino Linotype"/>
        </w:rPr>
        <w:t>En la segunda perspectiva, se analizan las interacciones a través de un modelo de negociación. Aunque las comunidades reciben de las empresas una amplia gama de beneficios, sin embargo también pueden surgir conflictos y acuerdos. Si la comunidad gana a través de un conflicto de desgaste la empresa puede verse obligada a negociar el intercambio de los beneficios de la explot</w:t>
      </w:r>
      <w:r w:rsidR="008C6717">
        <w:rPr>
          <w:rFonts w:ascii="Palatino Linotype" w:hAnsi="Palatino Linotype"/>
        </w:rPr>
        <w:t xml:space="preserve">ación con la comunidad (Burton , </w:t>
      </w:r>
      <w:r w:rsidRPr="00272904">
        <w:rPr>
          <w:rFonts w:ascii="Palatino Linotype" w:hAnsi="Palatino Linotype"/>
        </w:rPr>
        <w:t>200</w:t>
      </w:r>
      <w:r w:rsidR="004559A5">
        <w:rPr>
          <w:rFonts w:ascii="Palatino Linotype" w:hAnsi="Palatino Linotype"/>
        </w:rPr>
        <w:t>4</w:t>
      </w:r>
      <w:r w:rsidRPr="00272904">
        <w:rPr>
          <w:rFonts w:ascii="Palatino Linotype" w:hAnsi="Palatino Linotype"/>
        </w:rPr>
        <w:t xml:space="preserve">) </w:t>
      </w:r>
      <w:r w:rsidR="008C6717">
        <w:rPr>
          <w:rFonts w:ascii="Palatino Linotype" w:hAnsi="Palatino Linotype"/>
        </w:rPr>
        <w:t>.</w:t>
      </w:r>
    </w:p>
    <w:p w14:paraId="0C421247" w14:textId="77777777" w:rsidR="00272904" w:rsidRPr="00272904" w:rsidRDefault="00272904" w:rsidP="00272904">
      <w:pPr>
        <w:jc w:val="both"/>
        <w:rPr>
          <w:rFonts w:ascii="Palatino Linotype" w:hAnsi="Palatino Linotype"/>
        </w:rPr>
      </w:pPr>
      <w:r w:rsidRPr="00272904">
        <w:rPr>
          <w:rFonts w:ascii="Palatino Linotype" w:hAnsi="Palatino Linotype"/>
        </w:rPr>
        <w:t xml:space="preserve">El estudio del conflicto social entre empresa y comunidades es importante, por las pérdidas que asumen las empresas como consecuencia de los conflictos. Según Davis y </w:t>
      </w:r>
      <w:r w:rsidRPr="00272904">
        <w:rPr>
          <w:rFonts w:ascii="Palatino Linotype" w:hAnsi="Palatino Linotype"/>
        </w:rPr>
        <w:lastRenderedPageBreak/>
        <w:t xml:space="preserve">Franks ( 2014 ) hay varios tipos de costos. Los costos más frecuentes son generados por la pérdida de productividad debido a huelgas o retrasos temporales.  También se encuentran costes de oportunidad en términos de la pérdida de valor vinculado a proyectos futuros, planes de expansión, o las ventas que no se pudieron realizar.  Además de costos indirectos resultantes de tiempo del personal pierde resolviendo los conflictos y no desarrollando sus tareas de gestión en la empresa. </w:t>
      </w:r>
    </w:p>
    <w:p w14:paraId="388B05C9" w14:textId="2FFB460B" w:rsidR="00272904" w:rsidRPr="00272904" w:rsidRDefault="00272904" w:rsidP="00272904">
      <w:pPr>
        <w:jc w:val="both"/>
        <w:rPr>
          <w:rFonts w:ascii="Palatino Linotype" w:hAnsi="Palatino Linotype"/>
        </w:rPr>
      </w:pPr>
      <w:r w:rsidRPr="00272904">
        <w:rPr>
          <w:rFonts w:ascii="Palatino Linotype" w:hAnsi="Palatino Linotype"/>
        </w:rPr>
        <w:t>Otra perspectiva del conflicto social la podemos encontrar relacionada a la noción de "licencia social para operar</w:t>
      </w:r>
      <w:r w:rsidR="008C6717" w:rsidRPr="00272904">
        <w:rPr>
          <w:rFonts w:ascii="Palatino Linotype" w:hAnsi="Palatino Linotype"/>
        </w:rPr>
        <w:t xml:space="preserve">”. </w:t>
      </w:r>
      <w:r w:rsidRPr="00272904">
        <w:rPr>
          <w:rFonts w:ascii="Palatino Linotype" w:hAnsi="Palatino Linotype"/>
        </w:rPr>
        <w:t xml:space="preserve">La cual está fuertemente ligada a varias otros conceptos como la legitimidad, la reputación, los stakeholders y la responsabilidad social del desempeño corporativo (Salzmann,  et al., </w:t>
      </w:r>
      <w:r w:rsidR="008C6717" w:rsidRPr="00272904">
        <w:rPr>
          <w:rFonts w:ascii="Palatino Linotype" w:hAnsi="Palatino Linotype"/>
        </w:rPr>
        <w:t>2006)</w:t>
      </w:r>
      <w:r w:rsidRPr="00272904">
        <w:rPr>
          <w:rFonts w:ascii="Palatino Linotype" w:hAnsi="Palatino Linotype"/>
        </w:rPr>
        <w:t xml:space="preserve">. </w:t>
      </w:r>
    </w:p>
    <w:p w14:paraId="4869B4E1" w14:textId="06378363" w:rsidR="00272904" w:rsidRPr="00272904" w:rsidRDefault="00272904" w:rsidP="008C6717">
      <w:pPr>
        <w:jc w:val="both"/>
        <w:rPr>
          <w:rFonts w:ascii="Palatino Linotype" w:hAnsi="Palatino Linotype"/>
        </w:rPr>
      </w:pPr>
      <w:r w:rsidRPr="00272904">
        <w:rPr>
          <w:rFonts w:ascii="Palatino Linotype" w:hAnsi="Palatino Linotype"/>
        </w:rPr>
        <w:t>Para nuestro trabajo elegimos esta perspectiva, porque la licencia  social se refiere a la aceptación comunitaria de una empresa minera y sus proyectos. El cual  es informal e intangible y es otorgado por la comunidad, y basado en las opiniones de los stakeho</w:t>
      </w:r>
      <w:r w:rsidR="00DF1C58">
        <w:rPr>
          <w:rFonts w:ascii="Palatino Linotype" w:hAnsi="Palatino Linotype"/>
        </w:rPr>
        <w:t>lders  (Yates y Horvath, 2013</w:t>
      </w:r>
      <w:r w:rsidRPr="00272904">
        <w:rPr>
          <w:rFonts w:ascii="Palatino Linotype" w:hAnsi="Palatino Linotype"/>
        </w:rPr>
        <w:t xml:space="preserve">). </w:t>
      </w:r>
      <w:r w:rsidR="008C6717" w:rsidRPr="00272904">
        <w:rPr>
          <w:rFonts w:ascii="Palatino Linotype" w:hAnsi="Palatino Linotype"/>
        </w:rPr>
        <w:t>Además</w:t>
      </w:r>
      <w:r w:rsidRPr="00272904">
        <w:rPr>
          <w:rFonts w:ascii="Palatino Linotype" w:hAnsi="Palatino Linotype"/>
        </w:rPr>
        <w:t xml:space="preserve"> que según, el Banco Mundial una licencia social para operar es la adquisición del consentimiento libre, previo e informado de las comunidades locales y los stakeholders  (World Bank, </w:t>
      </w:r>
      <w:r w:rsidR="008C6717" w:rsidRPr="00272904">
        <w:rPr>
          <w:rFonts w:ascii="Palatino Linotype" w:hAnsi="Palatino Linotype"/>
        </w:rPr>
        <w:t>2003)</w:t>
      </w:r>
      <w:r w:rsidRPr="00272904">
        <w:rPr>
          <w:rFonts w:ascii="Palatino Linotype" w:hAnsi="Palatino Linotype"/>
        </w:rPr>
        <w:t xml:space="preserve">. Por ello, la licencia social para operar se basa en el grado en que una empresa y sus actividades cumplen con las expectativas de las comunidades locales, la sociedad en general, y los diversos stakeholders </w:t>
      </w:r>
      <w:r w:rsidR="008C6717">
        <w:rPr>
          <w:rFonts w:ascii="Palatino Linotype" w:hAnsi="Palatino Linotype"/>
        </w:rPr>
        <w:t>(</w:t>
      </w:r>
      <w:r w:rsidR="008C6717" w:rsidRPr="008C6717">
        <w:rPr>
          <w:rFonts w:ascii="Times New Roman" w:eastAsia="Times New Roman" w:hAnsi="Times New Roman" w:cs="Times New Roman"/>
          <w:sz w:val="24"/>
          <w:szCs w:val="24"/>
          <w:lang w:val="es-ES" w:eastAsia="es-ES"/>
        </w:rPr>
        <w:t>Gunninham,</w:t>
      </w:r>
      <w:r w:rsidR="008C6717">
        <w:rPr>
          <w:rFonts w:ascii="Times New Roman" w:eastAsia="Times New Roman" w:hAnsi="Times New Roman" w:cs="Times New Roman"/>
          <w:sz w:val="24"/>
          <w:szCs w:val="24"/>
          <w:lang w:val="es-ES" w:eastAsia="es-ES"/>
        </w:rPr>
        <w:t xml:space="preserve"> et al., 2004)</w:t>
      </w:r>
      <w:r w:rsidRPr="00272904">
        <w:rPr>
          <w:rFonts w:ascii="Palatino Linotype" w:hAnsi="Palatino Linotype"/>
        </w:rPr>
        <w:t xml:space="preserve">. Y obtenerla es importante para reducir los riesgos de la críticas pública, los conflictos sociales, y, en general, el daño a la reputación de la empresa </w:t>
      </w:r>
      <w:r w:rsidR="008C6717">
        <w:rPr>
          <w:rFonts w:ascii="Palatino Linotype" w:hAnsi="Palatino Linotype"/>
        </w:rPr>
        <w:t>(</w:t>
      </w:r>
      <w:r w:rsidR="008C6717" w:rsidRPr="008C6717">
        <w:rPr>
          <w:rFonts w:ascii="Times New Roman" w:eastAsia="Times New Roman" w:hAnsi="Times New Roman" w:cs="Times New Roman"/>
          <w:sz w:val="24"/>
          <w:szCs w:val="24"/>
          <w:lang w:val="es-ES" w:eastAsia="es-ES"/>
        </w:rPr>
        <w:t>PDAC</w:t>
      </w:r>
      <w:r w:rsidR="008C6717">
        <w:rPr>
          <w:rFonts w:ascii="Times New Roman" w:eastAsia="Times New Roman" w:hAnsi="Times New Roman" w:cs="Times New Roman"/>
          <w:sz w:val="24"/>
          <w:szCs w:val="24"/>
          <w:lang w:val="es-ES" w:eastAsia="es-ES"/>
        </w:rPr>
        <w:t>, 2014).</w:t>
      </w:r>
      <w:r w:rsidRPr="00272904">
        <w:rPr>
          <w:rFonts w:ascii="Palatino Linotype" w:hAnsi="Palatino Linotype"/>
        </w:rPr>
        <w:t xml:space="preserve"> </w:t>
      </w:r>
    </w:p>
    <w:p w14:paraId="1A4CF2CF" w14:textId="03A961CA" w:rsidR="00272904" w:rsidRPr="00272904" w:rsidRDefault="00272904" w:rsidP="00DC2548">
      <w:pPr>
        <w:jc w:val="both"/>
        <w:rPr>
          <w:rFonts w:ascii="Palatino Linotype" w:hAnsi="Palatino Linotype"/>
        </w:rPr>
      </w:pPr>
      <w:r w:rsidRPr="00272904">
        <w:rPr>
          <w:rFonts w:ascii="Palatino Linotype" w:hAnsi="Palatino Linotype"/>
        </w:rPr>
        <w:t xml:space="preserve"> Sus antecedentes se pueden encontrar desde hace varias décadas, cuando  Shocker y Sethi </w:t>
      </w:r>
      <w:r w:rsidR="008C6717">
        <w:rPr>
          <w:rFonts w:ascii="Palatino Linotype" w:hAnsi="Palatino Linotype"/>
        </w:rPr>
        <w:t>(1973)</w:t>
      </w:r>
      <w:r w:rsidRPr="00272904">
        <w:rPr>
          <w:rFonts w:ascii="Palatino Linotype" w:hAnsi="Palatino Linotype"/>
        </w:rPr>
        <w:t xml:space="preserve"> declararon que la empresa moderna requiere de un "contrato social" para operar con éxito en la sociedad. Aunque, en la industria minera este concepto recién fue acuñado a finales de la década de los 90, por un directivo minero canadiense Jim Cooney </w:t>
      </w:r>
      <w:r w:rsidR="008C6717">
        <w:rPr>
          <w:rFonts w:ascii="Palatino Linotype" w:hAnsi="Palatino Linotype"/>
        </w:rPr>
        <w:t>(</w:t>
      </w:r>
      <w:r w:rsidR="008C6717" w:rsidRPr="008C6717">
        <w:rPr>
          <w:rFonts w:ascii="Times New Roman" w:eastAsia="Times New Roman" w:hAnsi="Times New Roman" w:cs="Times New Roman"/>
          <w:sz w:val="24"/>
          <w:szCs w:val="24"/>
          <w:lang w:val="es-ES" w:eastAsia="es-ES"/>
        </w:rPr>
        <w:t>Prno, 2013).</w:t>
      </w:r>
      <w:r w:rsidRPr="00272904">
        <w:rPr>
          <w:rFonts w:ascii="Palatino Linotype" w:hAnsi="Palatino Linotype"/>
        </w:rPr>
        <w:t xml:space="preserve"> Por tanto, la ausencia de licencia social,  es decir, la negativa de la comunidad para que una empresa inicie sus proyectos en la zona geográfica de dicha comunidad o áreas aledañas, puede ser considerada como una manifestación de  conflicto social.</w:t>
      </w:r>
    </w:p>
    <w:p w14:paraId="27F02701" w14:textId="094D12EB" w:rsidR="00272904" w:rsidRPr="001C12AB" w:rsidRDefault="00272904" w:rsidP="00926ED4">
      <w:pPr>
        <w:jc w:val="both"/>
        <w:rPr>
          <w:rFonts w:ascii="Palatino Linotype" w:hAnsi="Palatino Linotype"/>
        </w:rPr>
      </w:pPr>
      <w:r w:rsidRPr="00272904">
        <w:rPr>
          <w:rFonts w:ascii="Palatino Linotype" w:hAnsi="Palatino Linotype"/>
        </w:rPr>
        <w:t>Esta perspectiva, es importante para nuestro estudio porque recientemente se ha incrementado el interés por incluir a la licencia social en las relaciones conflictivas que se pueden establecer entre la comunidad, empresa y gobierno (</w:t>
      </w:r>
      <w:r w:rsidR="00F77ACD">
        <w:rPr>
          <w:rFonts w:ascii="Palatino Linotype" w:hAnsi="Palatino Linotype"/>
        </w:rPr>
        <w:t>Moffat y Zhang, 2014; Prno, 2013</w:t>
      </w:r>
      <w:r w:rsidRPr="00272904">
        <w:rPr>
          <w:rFonts w:ascii="Palatino Linotype" w:hAnsi="Palatino Linotype"/>
        </w:rPr>
        <w:t>; Dorobantu et. al., 2012; Lacey</w:t>
      </w:r>
      <w:r w:rsidR="008F2415">
        <w:rPr>
          <w:rFonts w:ascii="Palatino Linotype" w:hAnsi="Palatino Linotype"/>
        </w:rPr>
        <w:t xml:space="preserve"> y Lamont</w:t>
      </w:r>
      <w:r w:rsidRPr="00272904">
        <w:rPr>
          <w:rFonts w:ascii="Palatino Linotype" w:hAnsi="Palatino Linotype"/>
        </w:rPr>
        <w:t>, 2013). Este interés responde principalmente a dos factores: El primero es que el número de conflictos sociales, en la industria extractiva en particular, se ha incrementado notablemente produciendo efectos negativos sobre el desarrollo socio-económico de la comunidad y en la gestión pública (</w:t>
      </w:r>
      <w:r w:rsidR="008F2415" w:rsidRPr="00272904">
        <w:rPr>
          <w:rFonts w:ascii="Palatino Linotype" w:hAnsi="Palatino Linotype"/>
        </w:rPr>
        <w:t>Lacey</w:t>
      </w:r>
      <w:r w:rsidR="008F2415">
        <w:rPr>
          <w:rFonts w:ascii="Palatino Linotype" w:hAnsi="Palatino Linotype"/>
        </w:rPr>
        <w:t xml:space="preserve"> y Lamont</w:t>
      </w:r>
      <w:r w:rsidR="008F2415" w:rsidRPr="00272904">
        <w:rPr>
          <w:rFonts w:ascii="Palatino Linotype" w:hAnsi="Palatino Linotype"/>
        </w:rPr>
        <w:t>, 2013</w:t>
      </w:r>
      <w:r w:rsidRPr="00272904">
        <w:rPr>
          <w:rFonts w:ascii="Palatino Linotype" w:hAnsi="Palatino Linotype"/>
        </w:rPr>
        <w:t xml:space="preserve">). El segundo es que estos conflictos podrían afectan la salud financiera de la empresa </w:t>
      </w:r>
      <w:r w:rsidRPr="00272904">
        <w:rPr>
          <w:rFonts w:ascii="Palatino Linotype" w:hAnsi="Palatino Linotype"/>
        </w:rPr>
        <w:lastRenderedPageBreak/>
        <w:t>minera por diferentes vías, como por ejemplo la pérdida de reputación, pérdida de ingresos, reducción del precio de la acción, entre otras posibles canales (Davis y Franks, 2014; Dorobantu et.</w:t>
      </w:r>
      <w:r w:rsidR="001C12AB">
        <w:rPr>
          <w:rFonts w:ascii="Palatino Linotype" w:hAnsi="Palatino Linotype"/>
        </w:rPr>
        <w:t xml:space="preserve"> al., 2012).</w:t>
      </w:r>
    </w:p>
    <w:p w14:paraId="55E547F3" w14:textId="3B40CE3D" w:rsidR="0058740E" w:rsidRPr="00654B1D" w:rsidRDefault="00F77ACD" w:rsidP="00926ED4">
      <w:pPr>
        <w:jc w:val="both"/>
        <w:rPr>
          <w:rFonts w:ascii="Palatino Linotype" w:hAnsi="Palatino Linotype"/>
          <w:b/>
          <w:i/>
        </w:rPr>
      </w:pPr>
      <w:r>
        <w:rPr>
          <w:rFonts w:ascii="Palatino Linotype" w:hAnsi="Palatino Linotype"/>
          <w:b/>
          <w:i/>
        </w:rPr>
        <w:t xml:space="preserve">II.1.1- </w:t>
      </w:r>
      <w:r w:rsidR="0058740E" w:rsidRPr="00654B1D">
        <w:rPr>
          <w:rFonts w:ascii="Palatino Linotype" w:hAnsi="Palatino Linotype"/>
          <w:b/>
          <w:i/>
        </w:rPr>
        <w:t>Factores del conflicto social</w:t>
      </w:r>
    </w:p>
    <w:p w14:paraId="59F683B0" w14:textId="34E75B1D" w:rsidR="00895F12" w:rsidRDefault="00654B1D" w:rsidP="00895F12">
      <w:pPr>
        <w:autoSpaceDE w:val="0"/>
        <w:autoSpaceDN w:val="0"/>
        <w:adjustRightInd w:val="0"/>
        <w:spacing w:after="0"/>
        <w:jc w:val="both"/>
        <w:rPr>
          <w:rFonts w:ascii="Palatino Linotype" w:hAnsi="Palatino Linotype"/>
        </w:rPr>
      </w:pPr>
      <w:r>
        <w:rPr>
          <w:rFonts w:ascii="Palatino Linotype" w:hAnsi="Palatino Linotype"/>
        </w:rPr>
        <w:t>U</w:t>
      </w:r>
      <w:r w:rsidR="00895F12">
        <w:rPr>
          <w:rFonts w:ascii="Palatino Linotype" w:hAnsi="Palatino Linotype"/>
        </w:rPr>
        <w:t>n conjunto de investigaciones han hecho énfasis en los factores necesarios para obtener una licencia social; es decir para que la comunidad acepte la operación de la empresa minera en su localidad. Entre estos factores destaca la comunicación continua, desarrollo de mecanismos de resolución de conflictos y una cultura apropiada de toma de decisiones (</w:t>
      </w:r>
      <w:r w:rsidR="00895F12" w:rsidRPr="00AE60DD">
        <w:rPr>
          <w:rFonts w:ascii="Palatino Linotype" w:hAnsi="Palatino Linotype"/>
        </w:rPr>
        <w:t>Business for Social Responsibility</w:t>
      </w:r>
      <w:r w:rsidR="00895F12">
        <w:rPr>
          <w:rFonts w:ascii="Palatino Linotype" w:hAnsi="Palatino Linotype"/>
        </w:rPr>
        <w:t xml:space="preserve">, </w:t>
      </w:r>
      <w:r w:rsidR="00895F12" w:rsidRPr="00AE60DD">
        <w:rPr>
          <w:rFonts w:ascii="Palatino Linotype" w:hAnsi="Palatino Linotype"/>
        </w:rPr>
        <w:t xml:space="preserve">2003; Social License Task Group 2009; Goldstuck </w:t>
      </w:r>
      <w:r w:rsidR="00895F12">
        <w:rPr>
          <w:rFonts w:ascii="Palatino Linotype" w:hAnsi="Palatino Linotype"/>
        </w:rPr>
        <w:t>y</w:t>
      </w:r>
      <w:r w:rsidR="00895F12" w:rsidRPr="00AE60DD">
        <w:rPr>
          <w:rFonts w:ascii="Palatino Linotype" w:hAnsi="Palatino Linotype"/>
        </w:rPr>
        <w:t xml:space="preserve"> Hughes 2010</w:t>
      </w:r>
      <w:r w:rsidR="00895F12">
        <w:rPr>
          <w:rFonts w:ascii="Palatino Linotype" w:hAnsi="Palatino Linotype"/>
        </w:rPr>
        <w:t>).</w:t>
      </w:r>
    </w:p>
    <w:p w14:paraId="6126E72E" w14:textId="77777777" w:rsidR="00895F12" w:rsidRPr="00AE60DD" w:rsidRDefault="00895F12" w:rsidP="00895F12">
      <w:pPr>
        <w:autoSpaceDE w:val="0"/>
        <w:autoSpaceDN w:val="0"/>
        <w:adjustRightInd w:val="0"/>
        <w:spacing w:after="0"/>
        <w:jc w:val="both"/>
        <w:rPr>
          <w:rFonts w:ascii="Palatino Linotype" w:hAnsi="Palatino Linotype"/>
        </w:rPr>
      </w:pPr>
    </w:p>
    <w:p w14:paraId="2C7FAD4C" w14:textId="77777777" w:rsidR="00895F12" w:rsidRDefault="00895F12" w:rsidP="00895F12">
      <w:pPr>
        <w:autoSpaceDE w:val="0"/>
        <w:autoSpaceDN w:val="0"/>
        <w:adjustRightInd w:val="0"/>
        <w:spacing w:after="0"/>
        <w:jc w:val="both"/>
        <w:rPr>
          <w:rFonts w:ascii="Palatino Linotype" w:hAnsi="Palatino Linotype"/>
        </w:rPr>
      </w:pPr>
      <w:r w:rsidRPr="00AE60DD">
        <w:rPr>
          <w:rFonts w:ascii="Palatino Linotype" w:hAnsi="Palatino Linotype"/>
        </w:rPr>
        <w:t xml:space="preserve">En línea con lo anterior, </w:t>
      </w:r>
      <w:r w:rsidRPr="00AE60DD">
        <w:rPr>
          <w:rFonts w:ascii="Palatino Linotype" w:hAnsi="Palatino Linotype" w:cs="Times New Roman"/>
        </w:rPr>
        <w:t>Nelsen y Scoble (2006) sugieren un conjunto de factores que la empresa debería de considerar para alcanzar la licencia social. Entre estos factores, el autor destaca la importancia de mantener una re</w:t>
      </w:r>
      <w:r>
        <w:rPr>
          <w:rFonts w:ascii="Palatino Linotype" w:hAnsi="Palatino Linotype" w:cs="Times New Roman"/>
        </w:rPr>
        <w:t xml:space="preserve">putación corporativa positiva, de alcanzar un </w:t>
      </w:r>
      <w:r w:rsidRPr="00AE60DD">
        <w:rPr>
          <w:rFonts w:ascii="Palatino Linotype" w:hAnsi="Palatino Linotype" w:cs="Times New Roman"/>
        </w:rPr>
        <w:t xml:space="preserve"> entendimiento de la cultura local, </w:t>
      </w:r>
      <w:r>
        <w:rPr>
          <w:rFonts w:ascii="Palatino Linotype" w:hAnsi="Palatino Linotype" w:cs="Times New Roman"/>
        </w:rPr>
        <w:t xml:space="preserve">de fortalecer </w:t>
      </w:r>
      <w:r w:rsidRPr="00AE60DD">
        <w:rPr>
          <w:rFonts w:ascii="Palatino Linotype" w:hAnsi="Palatino Linotype" w:cs="Times New Roman"/>
        </w:rPr>
        <w:t xml:space="preserve">la educación de los stakeholders de la comunidad acerca de los proyectos de la empresa minera, y </w:t>
      </w:r>
      <w:r>
        <w:rPr>
          <w:rFonts w:ascii="Palatino Linotype" w:hAnsi="Palatino Linotype" w:cs="Times New Roman"/>
        </w:rPr>
        <w:t xml:space="preserve">de mantener </w:t>
      </w:r>
      <w:r w:rsidRPr="00AE60DD">
        <w:rPr>
          <w:rFonts w:ascii="Palatino Linotype" w:hAnsi="Palatino Linotype" w:cs="Times New Roman"/>
        </w:rPr>
        <w:t>la comunicación abierta entre todos los stakeholders.</w:t>
      </w:r>
    </w:p>
    <w:p w14:paraId="3928116E" w14:textId="77777777" w:rsidR="00895F12" w:rsidRPr="00772B1E" w:rsidRDefault="00895F12" w:rsidP="00895F12">
      <w:pPr>
        <w:tabs>
          <w:tab w:val="left" w:pos="2688"/>
        </w:tabs>
        <w:autoSpaceDE w:val="0"/>
        <w:autoSpaceDN w:val="0"/>
        <w:adjustRightInd w:val="0"/>
        <w:spacing w:after="0"/>
        <w:jc w:val="both"/>
        <w:rPr>
          <w:rFonts w:ascii="Palatino Linotype" w:hAnsi="Palatino Linotype"/>
        </w:rPr>
      </w:pPr>
      <w:r>
        <w:rPr>
          <w:rFonts w:ascii="Palatino Linotype" w:hAnsi="Palatino Linotype"/>
        </w:rPr>
        <w:tab/>
      </w:r>
    </w:p>
    <w:p w14:paraId="5131741D" w14:textId="0A386F95" w:rsidR="00895F12" w:rsidRPr="008C08EF" w:rsidRDefault="00895F12" w:rsidP="00895F12">
      <w:pPr>
        <w:jc w:val="both"/>
        <w:rPr>
          <w:rFonts w:ascii="Palatino Linotype" w:hAnsi="Palatino Linotype" w:cs="Times New Roman"/>
        </w:rPr>
      </w:pPr>
      <w:r>
        <w:rPr>
          <w:rFonts w:ascii="Palatino Linotype" w:hAnsi="Palatino Linotype" w:cs="Times New Roman"/>
        </w:rPr>
        <w:t xml:space="preserve">De otro lado, Thomson y Boutilier (2011) identifican tres componentes de la licencia social (legitimidad, credibilidad y confianza) y, a diferencia de otros autores, seccionan la licencia social en cuatro niveles (retirada, aceptación, aprobación e identificación psicológica con el proyecto). Este enfoque de abordar la licencia social permite ubicar el grado de la legitimidad, credibilidad y confianza en cada uno de los niveles de la licencia social. Esto es importante por la practicidad que brinda al investigador para estudiar la licencia social. Por ejemplo, </w:t>
      </w:r>
      <w:r w:rsidRPr="00E8009B">
        <w:rPr>
          <w:rFonts w:ascii="Palatino Linotype" w:hAnsi="Palatino Linotype" w:cs="Times New Roman"/>
          <w:lang w:val="es-ES"/>
        </w:rPr>
        <w:t xml:space="preserve">Moffat y Zhang (2014) </w:t>
      </w:r>
      <w:r>
        <w:rPr>
          <w:rFonts w:ascii="Palatino Linotype" w:hAnsi="Palatino Linotype" w:cs="Times New Roman"/>
        </w:rPr>
        <w:t>estudiaron el rol que tiene</w:t>
      </w:r>
      <w:r w:rsidRPr="00E8009B">
        <w:rPr>
          <w:rFonts w:ascii="Palatino Linotype" w:hAnsi="Palatino Linotype" w:cs="Times New Roman"/>
          <w:lang w:val="es-ES"/>
        </w:rPr>
        <w:t xml:space="preserve"> la confianza en la licencia social; su </w:t>
      </w:r>
      <w:r w:rsidR="00F77ACD" w:rsidRPr="00E8009B">
        <w:rPr>
          <w:rFonts w:ascii="Palatino Linotype" w:hAnsi="Palatino Linotype" w:cs="Times New Roman"/>
          <w:lang w:val="es-ES"/>
        </w:rPr>
        <w:t>estudio</w:t>
      </w:r>
      <w:r w:rsidRPr="00E8009B">
        <w:rPr>
          <w:rFonts w:ascii="Palatino Linotype" w:hAnsi="Palatino Linotype" w:cs="Times New Roman"/>
          <w:lang w:val="es-ES"/>
        </w:rPr>
        <w:t xml:space="preserve"> se acotó para la </w:t>
      </w:r>
      <w:r w:rsidRPr="00F37BF4">
        <w:rPr>
          <w:rFonts w:ascii="Palatino Linotype" w:hAnsi="Palatino Linotype" w:cs="Times New Roman"/>
        </w:rPr>
        <w:t>región</w:t>
      </w:r>
      <w:r w:rsidRPr="00E8009B">
        <w:rPr>
          <w:rFonts w:ascii="Palatino Linotype" w:hAnsi="Palatino Linotype" w:cs="Times New Roman"/>
          <w:lang w:val="es-ES"/>
        </w:rPr>
        <w:t xml:space="preserve"> </w:t>
      </w:r>
      <w:r w:rsidRPr="00F37BF4">
        <w:rPr>
          <w:rFonts w:ascii="Palatino Linotype" w:hAnsi="Palatino Linotype" w:cs="Times New Roman"/>
        </w:rPr>
        <w:t>minera</w:t>
      </w:r>
      <w:r w:rsidRPr="00E8009B">
        <w:rPr>
          <w:rFonts w:ascii="Palatino Linotype" w:hAnsi="Palatino Linotype" w:cs="Times New Roman"/>
          <w:lang w:val="es-ES"/>
        </w:rPr>
        <w:t xml:space="preserve"> </w:t>
      </w:r>
      <w:r w:rsidRPr="00F37BF4">
        <w:rPr>
          <w:rFonts w:ascii="Palatino Linotype" w:hAnsi="Palatino Linotype" w:cs="Times New Roman"/>
        </w:rPr>
        <w:t>australiana</w:t>
      </w:r>
      <w:r>
        <w:rPr>
          <w:rFonts w:ascii="Palatino Linotype" w:hAnsi="Palatino Linotype" w:cs="Times New Roman"/>
        </w:rPr>
        <w:t xml:space="preserve">. Estos autores encontraron que la confianza tiene un rol principal para mantener el nivel de aceptación y de aprobación de la licencia social </w:t>
      </w:r>
      <w:r w:rsidR="00F77ACD">
        <w:rPr>
          <w:rFonts w:ascii="Palatino Linotype" w:hAnsi="Palatino Linotype" w:cs="Times New Roman"/>
        </w:rPr>
        <w:t>entre la empresa y la comunidad. A</w:t>
      </w:r>
      <w:r>
        <w:rPr>
          <w:rFonts w:ascii="Palatino Linotype" w:hAnsi="Palatino Linotype" w:cs="Times New Roman"/>
        </w:rPr>
        <w:t xml:space="preserve">simismo, </w:t>
      </w:r>
      <w:r w:rsidRPr="00AD2713">
        <w:rPr>
          <w:rFonts w:ascii="Palatino Linotype" w:hAnsi="Palatino Linotype" w:cs="Times New Roman"/>
        </w:rPr>
        <w:t xml:space="preserve"> </w:t>
      </w:r>
      <w:r w:rsidRPr="0066710E">
        <w:rPr>
          <w:rFonts w:ascii="Palatino Linotype" w:hAnsi="Palatino Linotype" w:cs="Times New Roman"/>
        </w:rPr>
        <w:t>encontraron</w:t>
      </w:r>
      <w:r w:rsidRPr="00AD2713">
        <w:rPr>
          <w:rFonts w:ascii="Palatino Linotype" w:hAnsi="Palatino Linotype" w:cs="Times New Roman"/>
        </w:rPr>
        <w:t xml:space="preserve"> que la calidad y la cantidad del contacto entre la empresa y la comunidad, la infraestructura social y los procedimientos legítimos influyen sobre la confianza.</w:t>
      </w:r>
    </w:p>
    <w:p w14:paraId="71405D7D" w14:textId="77777777" w:rsidR="00895F12" w:rsidRDefault="00895F12" w:rsidP="00895F12">
      <w:pPr>
        <w:jc w:val="both"/>
        <w:rPr>
          <w:rFonts w:ascii="Palatino Linotype" w:hAnsi="Palatino Linotype" w:cs="Times New Roman"/>
        </w:rPr>
      </w:pPr>
      <w:r>
        <w:rPr>
          <w:rFonts w:ascii="Palatino Linotype" w:hAnsi="Palatino Linotype"/>
        </w:rPr>
        <w:t xml:space="preserve">Las investigaciones de </w:t>
      </w:r>
      <w:r w:rsidRPr="00AD2713">
        <w:rPr>
          <w:rFonts w:ascii="Palatino Linotype" w:hAnsi="Palatino Linotype" w:cs="Times New Roman"/>
        </w:rPr>
        <w:t>Nelsen</w:t>
      </w:r>
      <w:r w:rsidRPr="00AE60DD">
        <w:rPr>
          <w:rFonts w:ascii="Palatino Linotype" w:hAnsi="Palatino Linotype" w:cs="Times New Roman"/>
        </w:rPr>
        <w:t xml:space="preserve"> y Scoble (2006)</w:t>
      </w:r>
      <w:r>
        <w:rPr>
          <w:rFonts w:ascii="Palatino Linotype" w:hAnsi="Palatino Linotype" w:cs="Times New Roman"/>
        </w:rPr>
        <w:t xml:space="preserve"> y Thomson y Boutilier (2011) enfatizan un conjunto de factores que influencian la licencia social desde el punto de vista de la comunidad y la empresa; sin embargo, no consideran el rol que tiene el gobierno y los compromisos institucionales en el proceso de obtener y mantener la licencia social. Este último aspecto ha sido abordado por Prno y </w:t>
      </w:r>
      <w:r w:rsidRPr="00F00AD3">
        <w:rPr>
          <w:rFonts w:ascii="Palatino Linotype" w:hAnsi="Palatino Linotype" w:cs="Times New Roman"/>
        </w:rPr>
        <w:t>Slocombe</w:t>
      </w:r>
      <w:r>
        <w:rPr>
          <w:rFonts w:ascii="Palatino Linotype" w:hAnsi="Palatino Linotype" w:cs="Times New Roman"/>
        </w:rPr>
        <w:t xml:space="preserve"> (2012) y Prno (2013). En estas investigaciones dichos autores sugieren que el gobierno (local, regional y nacional) podría </w:t>
      </w:r>
      <w:r>
        <w:rPr>
          <w:rFonts w:ascii="Palatino Linotype" w:hAnsi="Palatino Linotype" w:cs="Times New Roman"/>
        </w:rPr>
        <w:lastRenderedPageBreak/>
        <w:t>mejorar o afectar la obtención de la licencia social como también su desarrollo a lo largo del tiempo. Además, Prno (2013) propone un marco teórico que conjuga factores sociales y gubernamentales en la obtención de la licencia social, el cual representa un panorama general de los factores de la licencia social.</w:t>
      </w:r>
    </w:p>
    <w:p w14:paraId="0BA097B2" w14:textId="13CEA3DD" w:rsidR="0058740E" w:rsidRPr="00654B1D" w:rsidRDefault="00F77ACD" w:rsidP="00926ED4">
      <w:pPr>
        <w:jc w:val="both"/>
        <w:rPr>
          <w:rFonts w:ascii="Palatino Linotype" w:hAnsi="Palatino Linotype"/>
          <w:b/>
          <w:i/>
        </w:rPr>
      </w:pPr>
      <w:r>
        <w:rPr>
          <w:rFonts w:ascii="Palatino Linotype" w:hAnsi="Palatino Linotype"/>
          <w:b/>
          <w:i/>
        </w:rPr>
        <w:t xml:space="preserve">II.1.2- </w:t>
      </w:r>
      <w:r w:rsidR="0058740E" w:rsidRPr="00654B1D">
        <w:rPr>
          <w:rFonts w:ascii="Palatino Linotype" w:hAnsi="Palatino Linotype"/>
          <w:b/>
          <w:i/>
        </w:rPr>
        <w:t>Efectos del conflicto social</w:t>
      </w:r>
    </w:p>
    <w:p w14:paraId="7F856307" w14:textId="77777777" w:rsidR="00D8611F" w:rsidRDefault="00DF15F3" w:rsidP="00DF15F3">
      <w:pPr>
        <w:spacing w:after="0"/>
        <w:jc w:val="both"/>
        <w:rPr>
          <w:rFonts w:ascii="Palatino Linotype" w:hAnsi="Palatino Linotype"/>
        </w:rPr>
      </w:pPr>
      <w:r>
        <w:rPr>
          <w:rFonts w:ascii="Palatino Linotype" w:hAnsi="Palatino Linotype"/>
        </w:rPr>
        <w:t xml:space="preserve">Para el objetivo de esta investigación se considera que la ausencia de licencia social se refleja en un conflicto social, el cual puede tener diferentes manifestaciones. Una de ellas, generalmente, es la marcha colectiva de un sector de la comunidad en contra de las acciones de la empresa. Esta marcha colectiva podría tener diferentes grados de violencia, desde una marcha pacífica (ausencia de violencia) hasta daños de la propiedad privada y pública. </w:t>
      </w:r>
    </w:p>
    <w:p w14:paraId="6A13C93F" w14:textId="27186CA1" w:rsidR="00DF15F3" w:rsidRPr="001D4DCC" w:rsidRDefault="00DF15F3" w:rsidP="00DF15F3">
      <w:pPr>
        <w:spacing w:after="0"/>
        <w:jc w:val="both"/>
        <w:rPr>
          <w:rFonts w:ascii="Palatino Linotype" w:hAnsi="Palatino Linotype"/>
        </w:rPr>
      </w:pPr>
      <w:r>
        <w:rPr>
          <w:rFonts w:ascii="Palatino Linotype" w:hAnsi="Palatino Linotype"/>
        </w:rPr>
        <w:t>Los conflictos sociales podrían tener al menos tres principales efectos: El primer efecto es sobre la empresa, la cual no podría iniciar el proyecto de inversión por la oposición de la comunidad. Esto traería pérdidas monetarias a la empresa y además, en cierto grado, afectaría el valor de la empresa (Guidolin y La Ferrara 2005).  El segundo efecto es sobre la comunidad, quien no se beneficiaría de las externalidades positivas del proyecto minero tales como incremento del empleo, desarrollo de cadenas de servicios y diferentes proyectos de responsabilidad social (educación, salud, infraestructura, entre otros). Finalmente, un tercer efecto es sobre el presupuesto del gobierno nacional por medio de menores ingresos fiscales por concepto de menores impuestos; además, la paralización del proyecto representa una contracción de la inversión sectorial con influencia a nivel nacional (Alesina y</w:t>
      </w:r>
      <w:r w:rsidRPr="00902311">
        <w:rPr>
          <w:rFonts w:ascii="Palatino Linotype" w:hAnsi="Palatino Linotype"/>
        </w:rPr>
        <w:t xml:space="preserve"> Pe</w:t>
      </w:r>
      <w:r w:rsidR="00A857C0">
        <w:rPr>
          <w:rFonts w:ascii="Palatino Linotype" w:hAnsi="Palatino Linotype"/>
        </w:rPr>
        <w:t>rotti 1996;  Svensson 1999</w:t>
      </w:r>
      <w:r>
        <w:rPr>
          <w:rFonts w:ascii="Palatino Linotype" w:hAnsi="Palatino Linotype"/>
        </w:rPr>
        <w:t>).</w:t>
      </w:r>
    </w:p>
    <w:p w14:paraId="141C635C" w14:textId="77777777" w:rsidR="00DF15F3" w:rsidRPr="001D4DCC" w:rsidRDefault="00DF15F3" w:rsidP="00DF15F3">
      <w:pPr>
        <w:spacing w:after="0"/>
        <w:rPr>
          <w:rFonts w:ascii="Palatino Linotype" w:hAnsi="Palatino Linotype"/>
          <w:b/>
        </w:rPr>
      </w:pPr>
    </w:p>
    <w:p w14:paraId="201C825C" w14:textId="32209705" w:rsidR="00DF15F3" w:rsidRDefault="00F77ACD" w:rsidP="00D8611F">
      <w:pPr>
        <w:spacing w:after="0"/>
        <w:rPr>
          <w:rFonts w:ascii="Palatino Linotype" w:hAnsi="Palatino Linotype"/>
          <w:b/>
          <w:i/>
        </w:rPr>
      </w:pPr>
      <w:r>
        <w:rPr>
          <w:rFonts w:ascii="Palatino Linotype" w:hAnsi="Palatino Linotype"/>
          <w:b/>
          <w:i/>
        </w:rPr>
        <w:t xml:space="preserve">II.1.3- </w:t>
      </w:r>
      <w:r w:rsidR="00DF15F3" w:rsidRPr="00D8611F">
        <w:rPr>
          <w:rFonts w:ascii="Palatino Linotype" w:hAnsi="Palatino Linotype"/>
          <w:b/>
          <w:i/>
        </w:rPr>
        <w:t>Efectos de la ausencia de la licencia social sobre el precio de la acción</w:t>
      </w:r>
    </w:p>
    <w:p w14:paraId="613F3D62" w14:textId="77777777" w:rsidR="00D8611F" w:rsidRPr="00D8611F" w:rsidRDefault="00D8611F" w:rsidP="00D8611F">
      <w:pPr>
        <w:spacing w:after="0"/>
        <w:rPr>
          <w:rFonts w:ascii="Palatino Linotype" w:hAnsi="Palatino Linotype"/>
          <w:b/>
          <w:i/>
        </w:rPr>
      </w:pPr>
    </w:p>
    <w:p w14:paraId="00C1D745" w14:textId="1E5D36D2" w:rsidR="00DF15F3" w:rsidRDefault="00DF15F3" w:rsidP="00DF15F3">
      <w:pPr>
        <w:spacing w:after="0"/>
        <w:jc w:val="both"/>
        <w:rPr>
          <w:rFonts w:ascii="Palatino Linotype" w:hAnsi="Palatino Linotype"/>
        </w:rPr>
      </w:pPr>
      <w:r>
        <w:rPr>
          <w:rFonts w:ascii="Palatino Linotype" w:hAnsi="Palatino Linotype"/>
        </w:rPr>
        <w:t xml:space="preserve">En la literatura existen pocos estudios sobre la relación entre los conflictos sociales y el precio de las acciones de la empresa involucrada (Guidolin y La Ferrara 2005; </w:t>
      </w:r>
      <w:r w:rsidRPr="00E8009B">
        <w:rPr>
          <w:rFonts w:ascii="Palatino Linotype" w:hAnsi="Palatino Linotype"/>
          <w:lang w:val="es-ES"/>
        </w:rPr>
        <w:t xml:space="preserve">Dorobantu et al. </w:t>
      </w:r>
      <w:r w:rsidRPr="00615866">
        <w:rPr>
          <w:rFonts w:ascii="Palatino Linotype" w:hAnsi="Palatino Linotype"/>
        </w:rPr>
        <w:t>2012; Henisz 2013</w:t>
      </w:r>
      <w:r>
        <w:rPr>
          <w:rFonts w:ascii="Palatino Linotype" w:hAnsi="Palatino Linotype"/>
        </w:rPr>
        <w:t xml:space="preserve">).  No obstante, desde un punto de vista empírico algunos estudios han considerado que el valor de la empresa podría representar uno de los múltiples costos que enfrenta la empresa en un contexto de conflicto social (Franks et al. </w:t>
      </w:r>
      <w:r w:rsidR="00C773BB">
        <w:rPr>
          <w:rFonts w:ascii="Palatino Linotype" w:hAnsi="Palatino Linotype"/>
        </w:rPr>
        <w:t>2013</w:t>
      </w:r>
      <w:r>
        <w:rPr>
          <w:rFonts w:ascii="Palatino Linotype" w:hAnsi="Palatino Linotype"/>
        </w:rPr>
        <w:t>; Ross 2006; Bernauer et al. 2012; Muradian et al. 2003; Hilson y Yakovleva 200</w:t>
      </w:r>
      <w:r w:rsidR="00641F53">
        <w:rPr>
          <w:rFonts w:ascii="Palatino Linotype" w:hAnsi="Palatino Linotype"/>
        </w:rPr>
        <w:t>6</w:t>
      </w:r>
      <w:r>
        <w:rPr>
          <w:rFonts w:ascii="Palatino Linotype" w:hAnsi="Palatino Linotype"/>
        </w:rPr>
        <w:t>).</w:t>
      </w:r>
    </w:p>
    <w:p w14:paraId="276C2F5C" w14:textId="77777777" w:rsidR="00DF15F3" w:rsidRDefault="00DF15F3" w:rsidP="00DF15F3">
      <w:pPr>
        <w:spacing w:after="0"/>
        <w:jc w:val="both"/>
        <w:rPr>
          <w:rFonts w:ascii="Palatino Linotype" w:hAnsi="Palatino Linotype"/>
        </w:rPr>
      </w:pPr>
    </w:p>
    <w:p w14:paraId="7C61A639" w14:textId="1B53B03E" w:rsidR="00DF15F3" w:rsidRDefault="00DF15F3" w:rsidP="00DF15F3">
      <w:pPr>
        <w:spacing w:after="0"/>
        <w:jc w:val="both"/>
        <w:rPr>
          <w:rFonts w:ascii="Palatino Linotype" w:hAnsi="Palatino Linotype"/>
        </w:rPr>
      </w:pPr>
      <w:r>
        <w:rPr>
          <w:rFonts w:ascii="Palatino Linotype" w:hAnsi="Palatino Linotype"/>
        </w:rPr>
        <w:t xml:space="preserve">En línea con lo anterior, </w:t>
      </w:r>
      <w:r w:rsidR="00654B1D">
        <w:rPr>
          <w:rFonts w:ascii="Palatino Linotype" w:hAnsi="Palatino Linotype"/>
        </w:rPr>
        <w:t xml:space="preserve">Davis y Franks </w:t>
      </w:r>
      <w:r>
        <w:rPr>
          <w:rFonts w:ascii="Palatino Linotype" w:hAnsi="Palatino Linotype"/>
        </w:rPr>
        <w:t xml:space="preserve">(2014) realizan una categorización de los costos en los cuales incurre la empresa en un conflicto social, entre los cuales se encuentran: Costos asociados a la seguridad, a la modificación del proyecto, a la gestión del riesgo, a los daños de los materiales, a la pérdida de productividad, al capital (y por ende al precio de la acción), al personal, a la reputación y a la reparación (ver </w:t>
      </w:r>
      <w:r w:rsidR="00654B1D">
        <w:rPr>
          <w:rFonts w:ascii="Palatino Linotype" w:hAnsi="Palatino Linotype"/>
          <w:b/>
          <w:i/>
        </w:rPr>
        <w:t>tabla 1</w:t>
      </w:r>
      <w:r>
        <w:rPr>
          <w:rFonts w:ascii="Palatino Linotype" w:hAnsi="Palatino Linotype"/>
        </w:rPr>
        <w:t>).</w:t>
      </w:r>
    </w:p>
    <w:p w14:paraId="749CEB86" w14:textId="77777777" w:rsidR="00654B1D" w:rsidRDefault="00654B1D" w:rsidP="00DF15F3">
      <w:pPr>
        <w:spacing w:after="0"/>
        <w:jc w:val="both"/>
        <w:rPr>
          <w:rFonts w:ascii="Palatino Linotype" w:hAnsi="Palatino Linotype"/>
        </w:rPr>
      </w:pPr>
    </w:p>
    <w:p w14:paraId="43046BF1" w14:textId="77777777" w:rsidR="00654B1D" w:rsidRDefault="00654B1D" w:rsidP="00DF15F3">
      <w:pPr>
        <w:spacing w:after="0"/>
        <w:jc w:val="both"/>
        <w:rPr>
          <w:rFonts w:ascii="Palatino Linotype" w:hAnsi="Palatino Linotype"/>
        </w:rPr>
      </w:pPr>
    </w:p>
    <w:p w14:paraId="624899F6" w14:textId="77777777" w:rsidR="00895F12" w:rsidRDefault="00895F12" w:rsidP="00DF15F3">
      <w:pPr>
        <w:spacing w:after="0"/>
        <w:jc w:val="center"/>
        <w:rPr>
          <w:rFonts w:ascii="Palatino Linotype" w:hAnsi="Palatino Linotype"/>
          <w:b/>
        </w:rPr>
      </w:pPr>
    </w:p>
    <w:p w14:paraId="4D34AE92" w14:textId="77777777" w:rsidR="00526059" w:rsidRDefault="00526059" w:rsidP="00DF15F3">
      <w:pPr>
        <w:spacing w:after="0"/>
        <w:jc w:val="center"/>
        <w:rPr>
          <w:rFonts w:ascii="Palatino Linotype" w:hAnsi="Palatino Linotype"/>
          <w:b/>
        </w:rPr>
      </w:pPr>
    </w:p>
    <w:p w14:paraId="7919F61F" w14:textId="77777777" w:rsidR="00526059" w:rsidRDefault="00526059" w:rsidP="00DF15F3">
      <w:pPr>
        <w:spacing w:after="0"/>
        <w:jc w:val="center"/>
        <w:rPr>
          <w:rFonts w:ascii="Palatino Linotype" w:hAnsi="Palatino Linotype"/>
          <w:b/>
        </w:rPr>
      </w:pPr>
    </w:p>
    <w:p w14:paraId="537A8E05" w14:textId="77777777" w:rsidR="00734BFB" w:rsidRDefault="00734BFB" w:rsidP="00DF15F3">
      <w:pPr>
        <w:spacing w:after="0"/>
        <w:jc w:val="center"/>
        <w:rPr>
          <w:rFonts w:ascii="Palatino Linotype" w:hAnsi="Palatino Linotype"/>
          <w:b/>
        </w:rPr>
      </w:pPr>
    </w:p>
    <w:p w14:paraId="4932E130" w14:textId="1CFB66F4" w:rsidR="00DF15F3" w:rsidRPr="001B3319" w:rsidRDefault="00654B1D" w:rsidP="00D8611F">
      <w:pPr>
        <w:spacing w:after="0" w:line="240" w:lineRule="auto"/>
        <w:jc w:val="center"/>
        <w:rPr>
          <w:rFonts w:ascii="Palatino Linotype" w:hAnsi="Palatino Linotype"/>
          <w:i/>
        </w:rPr>
      </w:pPr>
      <w:r>
        <w:rPr>
          <w:rFonts w:ascii="Palatino Linotype" w:hAnsi="Palatino Linotype"/>
          <w:b/>
        </w:rPr>
        <w:t>Tabla 1</w:t>
      </w:r>
      <w:r w:rsidR="00DF15F3">
        <w:rPr>
          <w:rFonts w:ascii="Palatino Linotype" w:hAnsi="Palatino Linotype"/>
          <w:b/>
        </w:rPr>
        <w:t xml:space="preserve">. </w:t>
      </w:r>
      <w:r w:rsidR="00DF15F3">
        <w:rPr>
          <w:rFonts w:ascii="Palatino Linotype" w:hAnsi="Palatino Linotype"/>
        </w:rPr>
        <w:t>T</w:t>
      </w:r>
      <w:r w:rsidR="00DF15F3" w:rsidRPr="001B3319">
        <w:rPr>
          <w:rFonts w:ascii="Palatino Linotype" w:hAnsi="Palatino Linotype"/>
        </w:rPr>
        <w:t xml:space="preserve">ipos de </w:t>
      </w:r>
      <w:r w:rsidR="00DF15F3">
        <w:rPr>
          <w:rFonts w:ascii="Palatino Linotype" w:hAnsi="Palatino Linotype"/>
        </w:rPr>
        <w:t>costos que podría experimentar la empresa minera como resultado de un conflicto con la comunidad</w:t>
      </w:r>
    </w:p>
    <w:p w14:paraId="3FF5D610" w14:textId="77777777" w:rsidR="00DF15F3" w:rsidRPr="001B3319" w:rsidRDefault="00DF15F3" w:rsidP="00DF15F3">
      <w:pPr>
        <w:spacing w:after="0"/>
        <w:jc w:val="both"/>
        <w:rPr>
          <w:rFonts w:ascii="Palatino Linotype" w:hAnsi="Palatino Linotype"/>
        </w:rPr>
      </w:pPr>
    </w:p>
    <w:tbl>
      <w:tblPr>
        <w:tblStyle w:val="Sombreadoclaro-nfasis11"/>
        <w:tblW w:w="0" w:type="auto"/>
        <w:jc w:val="center"/>
        <w:tblLook w:val="04A0" w:firstRow="1" w:lastRow="0" w:firstColumn="1" w:lastColumn="0" w:noHBand="0" w:noVBand="1"/>
      </w:tblPr>
      <w:tblGrid>
        <w:gridCol w:w="2093"/>
        <w:gridCol w:w="6454"/>
      </w:tblGrid>
      <w:tr w:rsidR="00DF15F3" w:rsidRPr="000B2809" w14:paraId="5FD0424B" w14:textId="77777777" w:rsidTr="00734B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552205AB" w14:textId="77777777" w:rsidR="00DF15F3" w:rsidRPr="000B2809" w:rsidRDefault="00DF15F3" w:rsidP="00734BFB">
            <w:pPr>
              <w:spacing w:line="276" w:lineRule="auto"/>
              <w:jc w:val="center"/>
              <w:rPr>
                <w:rFonts w:ascii="Palatino Linotype" w:hAnsi="Palatino Linotype"/>
                <w:color w:val="1F497D" w:themeColor="text2"/>
                <w:sz w:val="20"/>
                <w:szCs w:val="20"/>
              </w:rPr>
            </w:pPr>
            <w:r w:rsidRPr="000B2809">
              <w:rPr>
                <w:rFonts w:ascii="Palatino Linotype" w:hAnsi="Palatino Linotype"/>
                <w:color w:val="1F497D" w:themeColor="text2"/>
                <w:sz w:val="20"/>
                <w:szCs w:val="20"/>
              </w:rPr>
              <w:t>Tipo de costo</w:t>
            </w:r>
          </w:p>
        </w:tc>
        <w:tc>
          <w:tcPr>
            <w:tcW w:w="6454" w:type="dxa"/>
          </w:tcPr>
          <w:p w14:paraId="15405381" w14:textId="77777777" w:rsidR="00DF15F3" w:rsidRPr="00F90F88" w:rsidRDefault="00DF15F3" w:rsidP="00734BFB">
            <w:pPr>
              <w:tabs>
                <w:tab w:val="left" w:pos="3044"/>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color w:val="1F497D" w:themeColor="text2"/>
                <w:sz w:val="20"/>
                <w:szCs w:val="20"/>
              </w:rPr>
            </w:pPr>
            <w:r w:rsidRPr="00F90F88">
              <w:rPr>
                <w:rFonts w:ascii="Palatino Linotype" w:hAnsi="Palatino Linotype"/>
                <w:color w:val="1F497D" w:themeColor="text2"/>
                <w:sz w:val="20"/>
                <w:szCs w:val="20"/>
              </w:rPr>
              <w:t>Ejemplos</w:t>
            </w:r>
          </w:p>
        </w:tc>
      </w:tr>
      <w:tr w:rsidR="00DF15F3" w:rsidRPr="001B3319" w14:paraId="67ABCE14"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538C2D8F" w14:textId="77777777" w:rsidR="00DF15F3" w:rsidRPr="00C34198" w:rsidRDefault="00DF15F3" w:rsidP="00734BFB">
            <w:pPr>
              <w:spacing w:line="276" w:lineRule="auto"/>
              <w:rPr>
                <w:rFonts w:ascii="Palatino Linotype" w:hAnsi="Palatino Linotype"/>
                <w:b w:val="0"/>
                <w:color w:val="1F497D" w:themeColor="text2"/>
                <w:sz w:val="20"/>
                <w:szCs w:val="20"/>
              </w:rPr>
            </w:pPr>
            <w:r>
              <w:rPr>
                <w:rFonts w:ascii="Palatino Linotype" w:hAnsi="Palatino Linotype"/>
                <w:color w:val="1F497D" w:themeColor="text2"/>
                <w:sz w:val="20"/>
                <w:szCs w:val="20"/>
              </w:rPr>
              <w:t>Seguridad</w:t>
            </w:r>
          </w:p>
        </w:tc>
        <w:tc>
          <w:tcPr>
            <w:tcW w:w="6454" w:type="dxa"/>
          </w:tcPr>
          <w:p w14:paraId="43BC9985" w14:textId="77777777" w:rsidR="00DF15F3" w:rsidRPr="00F90F88" w:rsidRDefault="00DF15F3" w:rsidP="00734BF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 xml:space="preserve">Pago para reforzar la seguridad en la compañía: nuevo personal (privado y/o público). </w:t>
            </w:r>
          </w:p>
          <w:p w14:paraId="355A639A" w14:textId="77777777" w:rsidR="00DF15F3" w:rsidRPr="00F90F88" w:rsidRDefault="00DF15F3" w:rsidP="00734BF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Incremento del costo operacional de la seguridad: Alarmas, transporte, sistemas de monitoreo, etc.</w:t>
            </w:r>
          </w:p>
        </w:tc>
      </w:tr>
      <w:tr w:rsidR="00DF15F3" w:rsidRPr="001B3319" w14:paraId="3D9DCE17" w14:textId="77777777" w:rsidTr="00734BFB">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450DCBE1"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Modificación del proyecto</w:t>
            </w:r>
          </w:p>
        </w:tc>
        <w:tc>
          <w:tcPr>
            <w:tcW w:w="6454" w:type="dxa"/>
          </w:tcPr>
          <w:p w14:paraId="3D533ED2" w14:textId="77777777" w:rsidR="00DF15F3" w:rsidRPr="00F90F88"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Pr>
                <w:rFonts w:ascii="Palatino Linotype" w:hAnsi="Palatino Linotype"/>
                <w:color w:val="1F497D" w:themeColor="text2"/>
                <w:sz w:val="20"/>
                <w:szCs w:val="20"/>
              </w:rPr>
              <w:t>Costos asociados a la modificación del diseño: rediseño, legales, y trabajos adicionales.</w:t>
            </w:r>
          </w:p>
        </w:tc>
      </w:tr>
      <w:tr w:rsidR="00DF15F3" w:rsidRPr="001B3319" w14:paraId="24964D32"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69F80CFD"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Gestión del riesgo</w:t>
            </w:r>
          </w:p>
        </w:tc>
        <w:tc>
          <w:tcPr>
            <w:tcW w:w="6454" w:type="dxa"/>
          </w:tcPr>
          <w:p w14:paraId="6C172E6F" w14:textId="77777777" w:rsidR="00DF15F3"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Seguros</w:t>
            </w:r>
            <w:r>
              <w:rPr>
                <w:rFonts w:ascii="Palatino Linotype" w:hAnsi="Palatino Linotype"/>
                <w:color w:val="1F497D" w:themeColor="text2"/>
                <w:sz w:val="20"/>
                <w:szCs w:val="20"/>
              </w:rPr>
              <w:t>: Mayores prima por riesgo y cobertura.</w:t>
            </w:r>
          </w:p>
          <w:p w14:paraId="505D4113" w14:textId="77777777" w:rsidR="00DF15F3" w:rsidRPr="00F90F88"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Pr>
                <w:rFonts w:ascii="Palatino Linotype" w:hAnsi="Palatino Linotype"/>
                <w:color w:val="1F497D" w:themeColor="text2"/>
                <w:sz w:val="20"/>
                <w:szCs w:val="20"/>
              </w:rPr>
              <w:t xml:space="preserve">Especialista en conflictos y aspectos legales: Nuevos contratos e incremento del personal especializado. </w:t>
            </w:r>
          </w:p>
        </w:tc>
      </w:tr>
      <w:tr w:rsidR="00DF15F3" w:rsidRPr="001B3319" w14:paraId="2CE0936B" w14:textId="77777777" w:rsidTr="00734BFB">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351C4218"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Daños sobre los materiales</w:t>
            </w:r>
          </w:p>
        </w:tc>
        <w:tc>
          <w:tcPr>
            <w:tcW w:w="6454" w:type="dxa"/>
          </w:tcPr>
          <w:p w14:paraId="18205EC6" w14:textId="77777777" w:rsidR="00DF15F3" w:rsidRPr="00F90F88"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Daño o destrucción de la propiedad privada o infraestructura.</w:t>
            </w:r>
          </w:p>
        </w:tc>
      </w:tr>
      <w:tr w:rsidR="00DF15F3" w:rsidRPr="001B3319" w14:paraId="429595A9"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3E844045"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Pérdida de productividad</w:t>
            </w:r>
          </w:p>
        </w:tc>
        <w:tc>
          <w:tcPr>
            <w:tcW w:w="6454" w:type="dxa"/>
          </w:tcPr>
          <w:p w14:paraId="72A26D15" w14:textId="77777777" w:rsidR="00DF15F3" w:rsidRPr="00F90F88"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Discontinuidad en las operaciones</w:t>
            </w:r>
            <w:r>
              <w:rPr>
                <w:rFonts w:ascii="Palatino Linotype" w:hAnsi="Palatino Linotype"/>
                <w:color w:val="1F497D" w:themeColor="text2"/>
                <w:sz w:val="20"/>
                <w:szCs w:val="20"/>
              </w:rPr>
              <w:t>.</w:t>
            </w:r>
          </w:p>
          <w:p w14:paraId="5C3FAC8C" w14:textId="77777777" w:rsidR="00DF15F3" w:rsidRPr="00F90F88"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Pr>
                <w:rFonts w:ascii="Palatino Linotype" w:hAnsi="Palatino Linotype"/>
                <w:color w:val="1F497D" w:themeColor="text2"/>
                <w:sz w:val="20"/>
                <w:szCs w:val="20"/>
              </w:rPr>
              <w:t>Ru</w:t>
            </w:r>
            <w:r w:rsidRPr="00F90F88">
              <w:rPr>
                <w:rFonts w:ascii="Palatino Linotype" w:hAnsi="Palatino Linotype"/>
                <w:color w:val="1F497D" w:themeColor="text2"/>
                <w:sz w:val="20"/>
                <w:szCs w:val="20"/>
              </w:rPr>
              <w:t>ptura en la producción</w:t>
            </w:r>
            <w:r>
              <w:rPr>
                <w:rFonts w:ascii="Palatino Linotype" w:hAnsi="Palatino Linotype"/>
                <w:color w:val="1F497D" w:themeColor="text2"/>
                <w:sz w:val="20"/>
                <w:szCs w:val="20"/>
              </w:rPr>
              <w:t>.</w:t>
            </w:r>
          </w:p>
          <w:p w14:paraId="11CB62AF" w14:textId="77777777" w:rsidR="00DF15F3" w:rsidRPr="00F90F88"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1F497D" w:themeColor="text2"/>
                <w:sz w:val="20"/>
                <w:szCs w:val="20"/>
              </w:rPr>
            </w:pPr>
            <w:r w:rsidRPr="00F90F88">
              <w:rPr>
                <w:rFonts w:ascii="Palatino Linotype" w:hAnsi="Palatino Linotype"/>
                <w:color w:val="1F497D" w:themeColor="text2"/>
                <w:sz w:val="20"/>
                <w:szCs w:val="20"/>
              </w:rPr>
              <w:t>Pérdida de oportunidad para futuras expansiones</w:t>
            </w:r>
            <w:r>
              <w:rPr>
                <w:rFonts w:ascii="Palatino Linotype" w:hAnsi="Palatino Linotype"/>
                <w:color w:val="1F497D" w:themeColor="text2"/>
                <w:sz w:val="20"/>
                <w:szCs w:val="20"/>
              </w:rPr>
              <w:t>.</w:t>
            </w:r>
          </w:p>
        </w:tc>
      </w:tr>
      <w:tr w:rsidR="00DF15F3" w:rsidRPr="001B3319" w14:paraId="70B726A2" w14:textId="77777777" w:rsidTr="00734BFB">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7F9B562C"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Capital</w:t>
            </w:r>
          </w:p>
        </w:tc>
        <w:tc>
          <w:tcPr>
            <w:tcW w:w="6454" w:type="dxa"/>
          </w:tcPr>
          <w:p w14:paraId="0545D7C4" w14:textId="77777777" w:rsidR="00DF15F3" w:rsidRPr="00F90F88"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Pérdida del valor de la propiedad</w:t>
            </w:r>
            <w:r>
              <w:rPr>
                <w:rFonts w:ascii="Palatino Linotype" w:hAnsi="Palatino Linotype"/>
                <w:color w:val="1F497D" w:themeColor="text2"/>
                <w:sz w:val="20"/>
                <w:szCs w:val="20"/>
              </w:rPr>
              <w:t>.</w:t>
            </w:r>
          </w:p>
          <w:p w14:paraId="63731E64" w14:textId="77777777" w:rsidR="00DF15F3"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sidRPr="00F90F88">
              <w:rPr>
                <w:rFonts w:ascii="Palatino Linotype" w:hAnsi="Palatino Linotype"/>
                <w:color w:val="1F497D" w:themeColor="text2"/>
                <w:sz w:val="20"/>
                <w:szCs w:val="20"/>
              </w:rPr>
              <w:t>Dificultad de adquirir nuevo capital; es decir, dificultad de emitir nuevas acciones</w:t>
            </w:r>
            <w:r>
              <w:rPr>
                <w:rFonts w:ascii="Palatino Linotype" w:hAnsi="Palatino Linotype"/>
                <w:color w:val="1F497D" w:themeColor="text2"/>
                <w:sz w:val="20"/>
                <w:szCs w:val="20"/>
              </w:rPr>
              <w:t>.</w:t>
            </w:r>
          </w:p>
          <w:p w14:paraId="5261D844" w14:textId="77777777" w:rsidR="00DF15F3"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Pr>
                <w:rFonts w:ascii="Palatino Linotype" w:hAnsi="Palatino Linotype"/>
                <w:color w:val="1F497D" w:themeColor="text2"/>
                <w:sz w:val="20"/>
                <w:szCs w:val="20"/>
              </w:rPr>
              <w:t>Inestabilidad del precio de las acciones y pérdida de su valor (dentro de un periodo de tiempo relevante).</w:t>
            </w:r>
          </w:p>
          <w:p w14:paraId="0EB27ECD" w14:textId="77777777" w:rsidR="00DF15F3" w:rsidRPr="00F90F88"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color w:val="1F497D" w:themeColor="text2"/>
                <w:sz w:val="20"/>
                <w:szCs w:val="20"/>
              </w:rPr>
            </w:pPr>
            <w:r>
              <w:rPr>
                <w:rFonts w:ascii="Palatino Linotype" w:hAnsi="Palatino Linotype"/>
                <w:color w:val="1F497D" w:themeColor="text2"/>
                <w:sz w:val="20"/>
                <w:szCs w:val="20"/>
              </w:rPr>
              <w:t xml:space="preserve">Inhabilidad para pagar deuda e incremento de la probabilidad de </w:t>
            </w:r>
            <w:r>
              <w:rPr>
                <w:rFonts w:ascii="Palatino Linotype" w:hAnsi="Palatino Linotype"/>
                <w:i/>
                <w:color w:val="1F497D" w:themeColor="text2"/>
                <w:sz w:val="20"/>
                <w:szCs w:val="20"/>
              </w:rPr>
              <w:t>default</w:t>
            </w:r>
            <w:r>
              <w:rPr>
                <w:rFonts w:ascii="Palatino Linotype" w:hAnsi="Palatino Linotype"/>
                <w:color w:val="1F497D" w:themeColor="text2"/>
                <w:sz w:val="20"/>
                <w:szCs w:val="20"/>
              </w:rPr>
              <w:t xml:space="preserve">. </w:t>
            </w:r>
          </w:p>
        </w:tc>
      </w:tr>
      <w:tr w:rsidR="00DF15F3" w:rsidRPr="001B3319" w14:paraId="34C8804D"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3D51FC7A"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Personal</w:t>
            </w:r>
          </w:p>
        </w:tc>
        <w:tc>
          <w:tcPr>
            <w:tcW w:w="6454" w:type="dxa"/>
          </w:tcPr>
          <w:p w14:paraId="0D4FB641" w14:textId="77777777" w:rsidR="00DF15F3" w:rsidRPr="00D75B43"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D75B43">
              <w:rPr>
                <w:rFonts w:ascii="Palatino Linotype" w:hAnsi="Palatino Linotype"/>
                <w:color w:val="1F497D" w:themeColor="text2"/>
                <w:sz w:val="20"/>
                <w:szCs w:val="20"/>
              </w:rPr>
              <w:t>Gasto del tiempo del personal en la gestión del conflicto.</w:t>
            </w:r>
          </w:p>
          <w:p w14:paraId="460F9E99" w14:textId="77777777" w:rsidR="00DF15F3" w:rsidRPr="00D75B43"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D75B43">
              <w:rPr>
                <w:rFonts w:ascii="Palatino Linotype" w:hAnsi="Palatino Linotype"/>
                <w:color w:val="1F497D" w:themeColor="text2"/>
                <w:sz w:val="20"/>
                <w:szCs w:val="20"/>
              </w:rPr>
              <w:t>Costos de solución: mediadores, negociadores y reuniones.</w:t>
            </w:r>
          </w:p>
          <w:p w14:paraId="60443C41" w14:textId="77777777" w:rsidR="00DF15F3" w:rsidRPr="00D75B43"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D75B43">
              <w:rPr>
                <w:rFonts w:ascii="Palatino Linotype" w:hAnsi="Palatino Linotype"/>
                <w:color w:val="1F497D" w:themeColor="text2"/>
                <w:sz w:val="20"/>
                <w:szCs w:val="20"/>
              </w:rPr>
              <w:t xml:space="preserve">Costos de retención de personal: Mayores salarios, paquetes de compensación y bonos. </w:t>
            </w:r>
          </w:p>
        </w:tc>
      </w:tr>
      <w:tr w:rsidR="00DF15F3" w:rsidRPr="001B3319" w14:paraId="58551177" w14:textId="77777777" w:rsidTr="00734BFB">
        <w:trPr>
          <w:jc w:val="center"/>
        </w:trPr>
        <w:tc>
          <w:tcPr>
            <w:cnfStyle w:val="001000000000" w:firstRow="0" w:lastRow="0" w:firstColumn="1" w:lastColumn="0" w:oddVBand="0" w:evenVBand="0" w:oddHBand="0" w:evenHBand="0" w:firstRowFirstColumn="0" w:firstRowLastColumn="0" w:lastRowFirstColumn="0" w:lastRowLastColumn="0"/>
            <w:tcW w:w="2093" w:type="dxa"/>
          </w:tcPr>
          <w:p w14:paraId="0AEED907"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Reputación</w:t>
            </w:r>
          </w:p>
        </w:tc>
        <w:tc>
          <w:tcPr>
            <w:tcW w:w="6454" w:type="dxa"/>
          </w:tcPr>
          <w:p w14:paraId="080886DC" w14:textId="77777777" w:rsidR="00DF15F3" w:rsidRPr="00C228A9"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sidRPr="00C228A9">
              <w:rPr>
                <w:rFonts w:ascii="Palatino Linotype" w:hAnsi="Palatino Linotype"/>
                <w:color w:val="1F497D" w:themeColor="text2"/>
                <w:sz w:val="20"/>
                <w:szCs w:val="20"/>
              </w:rPr>
              <w:t xml:space="preserve">Altos gastos en relaciones públicas: </w:t>
            </w:r>
            <w:r>
              <w:rPr>
                <w:rFonts w:ascii="Palatino Linotype" w:hAnsi="Palatino Linotype"/>
                <w:color w:val="1F497D" w:themeColor="text2"/>
                <w:sz w:val="20"/>
                <w:szCs w:val="20"/>
              </w:rPr>
              <w:t>C</w:t>
            </w:r>
            <w:r w:rsidRPr="00C228A9">
              <w:rPr>
                <w:rFonts w:ascii="Palatino Linotype" w:hAnsi="Palatino Linotype"/>
                <w:color w:val="1F497D" w:themeColor="text2"/>
                <w:sz w:val="20"/>
                <w:szCs w:val="20"/>
              </w:rPr>
              <w:t>onsultores, diseminación de información.</w:t>
            </w:r>
          </w:p>
          <w:p w14:paraId="4A2A6AEE" w14:textId="77777777" w:rsidR="00DF15F3" w:rsidRPr="00C228A9" w:rsidRDefault="00DF15F3" w:rsidP="00734BFB">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olor w:val="1F497D" w:themeColor="text2"/>
                <w:sz w:val="20"/>
                <w:szCs w:val="20"/>
              </w:rPr>
            </w:pPr>
            <w:r w:rsidRPr="00C228A9">
              <w:rPr>
                <w:rFonts w:ascii="Palatino Linotype" w:hAnsi="Palatino Linotype"/>
                <w:color w:val="1F497D" w:themeColor="text2"/>
                <w:sz w:val="20"/>
                <w:szCs w:val="20"/>
              </w:rPr>
              <w:t xml:space="preserve">Pérdida de competitividad: </w:t>
            </w:r>
            <w:r>
              <w:rPr>
                <w:rFonts w:ascii="Palatino Linotype" w:hAnsi="Palatino Linotype"/>
                <w:color w:val="1F497D" w:themeColor="text2"/>
                <w:sz w:val="20"/>
                <w:szCs w:val="20"/>
              </w:rPr>
              <w:t>I</w:t>
            </w:r>
            <w:r w:rsidRPr="00C228A9">
              <w:rPr>
                <w:rFonts w:ascii="Palatino Linotype" w:hAnsi="Palatino Linotype"/>
                <w:color w:val="1F497D" w:themeColor="text2"/>
                <w:sz w:val="20"/>
                <w:szCs w:val="20"/>
              </w:rPr>
              <w:t>mpacto sobre la marca y sobre la confianza del inversionista.</w:t>
            </w:r>
          </w:p>
        </w:tc>
      </w:tr>
      <w:tr w:rsidR="00DF15F3" w:rsidRPr="001B3319" w14:paraId="0D8E475A"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14:paraId="528BD660" w14:textId="77777777" w:rsidR="00DF15F3" w:rsidRDefault="00DF15F3" w:rsidP="00734BFB">
            <w:pPr>
              <w:rPr>
                <w:rFonts w:ascii="Palatino Linotype" w:hAnsi="Palatino Linotype"/>
                <w:color w:val="1F497D" w:themeColor="text2"/>
                <w:sz w:val="20"/>
                <w:szCs w:val="20"/>
              </w:rPr>
            </w:pPr>
            <w:r>
              <w:rPr>
                <w:rFonts w:ascii="Palatino Linotype" w:hAnsi="Palatino Linotype"/>
                <w:color w:val="1F497D" w:themeColor="text2"/>
                <w:sz w:val="20"/>
                <w:szCs w:val="20"/>
              </w:rPr>
              <w:t>Reparación</w:t>
            </w:r>
          </w:p>
        </w:tc>
        <w:tc>
          <w:tcPr>
            <w:tcW w:w="6454" w:type="dxa"/>
          </w:tcPr>
          <w:p w14:paraId="59ABFA0A" w14:textId="77777777" w:rsidR="00DF15F3" w:rsidRPr="00C228A9"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C228A9">
              <w:rPr>
                <w:rFonts w:ascii="Palatino Linotype" w:hAnsi="Palatino Linotype"/>
                <w:color w:val="1F497D" w:themeColor="text2"/>
                <w:sz w:val="20"/>
                <w:szCs w:val="20"/>
              </w:rPr>
              <w:t xml:space="preserve">Compensación </w:t>
            </w:r>
          </w:p>
          <w:p w14:paraId="35A43151" w14:textId="77777777" w:rsidR="00DF15F3" w:rsidRPr="00C228A9"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1F497D" w:themeColor="text2"/>
                <w:sz w:val="20"/>
                <w:szCs w:val="20"/>
              </w:rPr>
            </w:pPr>
            <w:r w:rsidRPr="00C228A9">
              <w:rPr>
                <w:rFonts w:ascii="Palatino Linotype" w:hAnsi="Palatino Linotype"/>
                <w:color w:val="1F497D" w:themeColor="text2"/>
                <w:sz w:val="20"/>
                <w:szCs w:val="20"/>
              </w:rPr>
              <w:t>Incremento de las obligaciones sociales y ambientales: Cuidado de la salud, educación y entrenamiento, provisión de otros servicios.</w:t>
            </w:r>
          </w:p>
          <w:p w14:paraId="7704C88A" w14:textId="77777777" w:rsidR="00DF15F3" w:rsidRPr="00F90F88" w:rsidRDefault="00DF15F3"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1F497D" w:themeColor="text2"/>
                <w:sz w:val="20"/>
                <w:szCs w:val="20"/>
              </w:rPr>
            </w:pPr>
            <w:r w:rsidRPr="00C228A9">
              <w:rPr>
                <w:rFonts w:ascii="Palatino Linotype" w:hAnsi="Palatino Linotype"/>
                <w:color w:val="1F497D" w:themeColor="text2"/>
                <w:sz w:val="20"/>
                <w:szCs w:val="20"/>
              </w:rPr>
              <w:t>Costos de procedimientos administrativos o de litigación.</w:t>
            </w:r>
            <w:r>
              <w:rPr>
                <w:rFonts w:ascii="Palatino Linotype" w:hAnsi="Palatino Linotype"/>
                <w:b/>
                <w:color w:val="1F497D" w:themeColor="text2"/>
                <w:sz w:val="20"/>
                <w:szCs w:val="20"/>
              </w:rPr>
              <w:t xml:space="preserve"> </w:t>
            </w:r>
          </w:p>
        </w:tc>
      </w:tr>
    </w:tbl>
    <w:p w14:paraId="26540CDB" w14:textId="4C8061DF" w:rsidR="00DF15F3" w:rsidRPr="00654B1D" w:rsidRDefault="00654B1D" w:rsidP="00DF15F3">
      <w:pPr>
        <w:spacing w:after="0"/>
        <w:rPr>
          <w:rFonts w:ascii="Palatino Linotype" w:hAnsi="Palatino Linotype"/>
          <w:sz w:val="18"/>
          <w:szCs w:val="18"/>
        </w:rPr>
      </w:pPr>
      <w:r w:rsidRPr="00654B1D">
        <w:rPr>
          <w:rFonts w:ascii="Palatino Linotype" w:hAnsi="Palatino Linotype"/>
          <w:b/>
          <w:sz w:val="18"/>
          <w:szCs w:val="18"/>
        </w:rPr>
        <w:t>Fuente:</w:t>
      </w:r>
      <w:r w:rsidR="00C773BB">
        <w:rPr>
          <w:rFonts w:ascii="Palatino Linotype" w:hAnsi="Palatino Linotype"/>
          <w:sz w:val="18"/>
          <w:szCs w:val="18"/>
        </w:rPr>
        <w:t xml:space="preserve"> Davis y Franks (2013</w:t>
      </w:r>
      <w:r w:rsidRPr="00654B1D">
        <w:rPr>
          <w:rFonts w:ascii="Palatino Linotype" w:hAnsi="Palatino Linotype"/>
          <w:sz w:val="18"/>
          <w:szCs w:val="18"/>
        </w:rPr>
        <w:t>)</w:t>
      </w:r>
    </w:p>
    <w:p w14:paraId="2C4B8EEF" w14:textId="77777777" w:rsidR="007B4114" w:rsidRDefault="007B4114" w:rsidP="00895F12">
      <w:pPr>
        <w:spacing w:after="0"/>
        <w:rPr>
          <w:rFonts w:ascii="Palatino Linotype" w:hAnsi="Palatino Linotype"/>
          <w:b/>
        </w:rPr>
      </w:pPr>
    </w:p>
    <w:p w14:paraId="742FA643" w14:textId="77777777" w:rsidR="00526059" w:rsidRDefault="00526059" w:rsidP="00895F12">
      <w:pPr>
        <w:spacing w:after="0"/>
        <w:rPr>
          <w:rFonts w:ascii="Palatino Linotype" w:hAnsi="Palatino Linotype"/>
          <w:b/>
        </w:rPr>
      </w:pPr>
    </w:p>
    <w:p w14:paraId="630A4116" w14:textId="77777777" w:rsidR="00526059" w:rsidRDefault="00526059" w:rsidP="00895F12">
      <w:pPr>
        <w:spacing w:after="0"/>
        <w:rPr>
          <w:rFonts w:ascii="Palatino Linotype" w:hAnsi="Palatino Linotype"/>
          <w:b/>
        </w:rPr>
      </w:pPr>
    </w:p>
    <w:p w14:paraId="1B6FE6CD" w14:textId="77777777" w:rsidR="00526059" w:rsidRDefault="00526059" w:rsidP="00895F12">
      <w:pPr>
        <w:spacing w:after="0"/>
        <w:rPr>
          <w:rFonts w:ascii="Palatino Linotype" w:hAnsi="Palatino Linotype"/>
          <w:b/>
        </w:rPr>
      </w:pPr>
    </w:p>
    <w:p w14:paraId="2EF5F8FA" w14:textId="77777777" w:rsidR="00526059" w:rsidRPr="00895F12" w:rsidRDefault="00526059" w:rsidP="00895F12">
      <w:pPr>
        <w:spacing w:after="0"/>
        <w:rPr>
          <w:rFonts w:ascii="Palatino Linotype" w:hAnsi="Palatino Linotype"/>
          <w:b/>
        </w:rPr>
      </w:pPr>
    </w:p>
    <w:p w14:paraId="014F7DDF" w14:textId="6AD92F15" w:rsidR="007B4114" w:rsidRPr="00A8463A" w:rsidRDefault="00F77ACD" w:rsidP="00F77ACD">
      <w:pPr>
        <w:pStyle w:val="Ttulo2"/>
        <w:numPr>
          <w:ilvl w:val="0"/>
          <w:numId w:val="0"/>
        </w:numPr>
        <w:tabs>
          <w:tab w:val="left" w:pos="284"/>
        </w:tabs>
        <w:rPr>
          <w:rFonts w:ascii="Palatino Linotype" w:hAnsi="Palatino Linotype"/>
          <w:i/>
          <w:strike/>
          <w:color w:val="auto"/>
          <w:sz w:val="24"/>
          <w:szCs w:val="24"/>
        </w:rPr>
      </w:pPr>
      <w:r w:rsidRPr="00A8463A">
        <w:rPr>
          <w:rFonts w:ascii="Palatino Linotype" w:hAnsi="Palatino Linotype"/>
          <w:i/>
          <w:color w:val="auto"/>
          <w:sz w:val="24"/>
          <w:szCs w:val="24"/>
        </w:rPr>
        <w:t xml:space="preserve">H.2 - </w:t>
      </w:r>
      <w:r w:rsidR="008E6EED" w:rsidRPr="00A8463A">
        <w:rPr>
          <w:rFonts w:ascii="Palatino Linotype" w:hAnsi="Palatino Linotype"/>
          <w:i/>
          <w:color w:val="auto"/>
          <w:sz w:val="24"/>
          <w:szCs w:val="24"/>
        </w:rPr>
        <w:t>El</w:t>
      </w:r>
      <w:r w:rsidR="007B4114" w:rsidRPr="00A8463A">
        <w:rPr>
          <w:rFonts w:ascii="Palatino Linotype" w:hAnsi="Palatino Linotype"/>
          <w:i/>
          <w:color w:val="auto"/>
          <w:sz w:val="24"/>
          <w:szCs w:val="24"/>
        </w:rPr>
        <w:t xml:space="preserve"> capital social </w:t>
      </w:r>
    </w:p>
    <w:p w14:paraId="7FC13FC6" w14:textId="77777777" w:rsidR="00F77ACD" w:rsidRDefault="00F77ACD" w:rsidP="00895F12">
      <w:pPr>
        <w:autoSpaceDE w:val="0"/>
        <w:autoSpaceDN w:val="0"/>
        <w:adjustRightInd w:val="0"/>
        <w:spacing w:after="0"/>
        <w:jc w:val="both"/>
        <w:rPr>
          <w:rFonts w:ascii="Palatino Linotype" w:hAnsi="Palatino Linotype"/>
        </w:rPr>
      </w:pPr>
    </w:p>
    <w:p w14:paraId="346D5EE8" w14:textId="1615C5DE" w:rsidR="00EA6545" w:rsidRPr="00AF16C8" w:rsidRDefault="004E30AD" w:rsidP="00895F12">
      <w:pPr>
        <w:autoSpaceDE w:val="0"/>
        <w:autoSpaceDN w:val="0"/>
        <w:adjustRightInd w:val="0"/>
        <w:spacing w:after="0"/>
        <w:jc w:val="both"/>
        <w:rPr>
          <w:rFonts w:ascii="Palatino Linotype" w:eastAsia="Times New Roman" w:hAnsi="Palatino Linotype" w:cs="Times New Roman"/>
          <w:lang w:val="es-ES" w:eastAsia="es-ES"/>
        </w:rPr>
      </w:pPr>
      <w:r w:rsidRPr="00AF16C8">
        <w:rPr>
          <w:rFonts w:ascii="Palatino Linotype" w:hAnsi="Palatino Linotype"/>
        </w:rPr>
        <w:t xml:space="preserve">Este concepto encuentra sus orígenes en la definición de </w:t>
      </w:r>
      <w:r w:rsidRPr="00AF16C8">
        <w:rPr>
          <w:rFonts w:ascii="Palatino Linotype" w:eastAsia="Times New Roman" w:hAnsi="Palatino Linotype" w:cs="Times New Roman"/>
          <w:lang w:val="es-ES" w:eastAsia="es-ES"/>
        </w:rPr>
        <w:t xml:space="preserve">Bourdieu (1985), para quien el capital social es </w:t>
      </w:r>
      <w:r w:rsidR="00EA6545" w:rsidRPr="00AF16C8">
        <w:rPr>
          <w:rFonts w:ascii="Palatino Linotype" w:eastAsia="Times New Roman" w:hAnsi="Palatino Linotype" w:cs="Times New Roman"/>
          <w:lang w:val="es-ES" w:eastAsia="es-ES"/>
        </w:rPr>
        <w:t>la acumulación de recursos reales o potenciales que están vinculados a la posesión de una red duradera de relaciones más o menos institucionalizadas de asociación o respeto mutuo</w:t>
      </w:r>
      <w:r w:rsidRPr="00AF16C8">
        <w:rPr>
          <w:rFonts w:ascii="Palatino Linotype" w:eastAsia="Times New Roman" w:hAnsi="Palatino Linotype" w:cs="Times New Roman"/>
          <w:lang w:val="es-ES" w:eastAsia="es-ES"/>
        </w:rPr>
        <w:t>. Aunque en sus inicios este concepto era estudiado dentro de las ciencias sociales, en los últimos años se generado amplio interés por su posible impacto en el crecimiento económico (Dearmon y Grier, 2009) y en el desarrollo del sistema financiero (Sapienza, Guiso y Zingales, 2004)</w:t>
      </w:r>
      <w:r w:rsidR="0038595D" w:rsidRPr="00AF16C8">
        <w:rPr>
          <w:rFonts w:ascii="Palatino Linotype" w:eastAsia="Times New Roman" w:hAnsi="Palatino Linotype" w:cs="Times New Roman"/>
          <w:lang w:val="es-ES" w:eastAsia="es-ES"/>
        </w:rPr>
        <w:t>.</w:t>
      </w:r>
    </w:p>
    <w:p w14:paraId="40734D37" w14:textId="77777777" w:rsidR="004E30AD" w:rsidRPr="00AF16C8" w:rsidRDefault="004E30AD" w:rsidP="00895F12">
      <w:pPr>
        <w:autoSpaceDE w:val="0"/>
        <w:autoSpaceDN w:val="0"/>
        <w:adjustRightInd w:val="0"/>
        <w:spacing w:after="0"/>
        <w:jc w:val="both"/>
        <w:rPr>
          <w:rFonts w:ascii="Palatino Linotype" w:eastAsia="Times New Roman" w:hAnsi="Palatino Linotype" w:cs="Times New Roman"/>
          <w:lang w:val="es-ES" w:eastAsia="es-ES"/>
        </w:rPr>
      </w:pPr>
    </w:p>
    <w:p w14:paraId="3EE49AE2" w14:textId="2CE05391" w:rsidR="00330B6E" w:rsidRPr="00AF16C8" w:rsidRDefault="00330B6E" w:rsidP="00330B6E">
      <w:pPr>
        <w:jc w:val="both"/>
        <w:rPr>
          <w:rFonts w:ascii="Palatino Linotype" w:hAnsi="Palatino Linotype"/>
        </w:rPr>
      </w:pPr>
      <w:r w:rsidRPr="00AF16C8">
        <w:rPr>
          <w:rFonts w:ascii="Palatino Linotype" w:hAnsi="Palatino Linotype"/>
        </w:rPr>
        <w:t>En esta investigación se asume que los esfuerzos que realiza la empresa para ganar cooperación y reducir el conflicto con sus stakeholders externos pueden ser concebidos como una inversión en capital social (Henisz et al., 201</w:t>
      </w:r>
      <w:r w:rsidR="00641F53">
        <w:rPr>
          <w:rFonts w:ascii="Palatino Linotype" w:hAnsi="Palatino Linotype"/>
        </w:rPr>
        <w:t>4</w:t>
      </w:r>
      <w:r w:rsidRPr="00AF16C8">
        <w:rPr>
          <w:rFonts w:ascii="Palatino Linotype" w:hAnsi="Palatino Linotype"/>
        </w:rPr>
        <w:t>). Este argumento teórico está en línea con la teoría instrumental de stakeholders (Clarkson, 1995; Donal</w:t>
      </w:r>
      <w:r w:rsidR="004559A5">
        <w:rPr>
          <w:rFonts w:ascii="Palatino Linotype" w:hAnsi="Palatino Linotype"/>
        </w:rPr>
        <w:t>d</w:t>
      </w:r>
      <w:r w:rsidRPr="00AF16C8">
        <w:rPr>
          <w:rFonts w:ascii="Palatino Linotype" w:hAnsi="Palatino Linotype"/>
        </w:rPr>
        <w:t xml:space="preserve">son y Preston, 1995; Jones, 1995). </w:t>
      </w:r>
    </w:p>
    <w:p w14:paraId="77151922" w14:textId="5ADD2E3B" w:rsidR="00330B6E" w:rsidRPr="00542F9B" w:rsidRDefault="00330B6E" w:rsidP="00330B6E">
      <w:pPr>
        <w:jc w:val="both"/>
        <w:rPr>
          <w:rFonts w:ascii="Palatino Linotype" w:hAnsi="Palatino Linotype"/>
        </w:rPr>
      </w:pPr>
      <w:r w:rsidRPr="00542F9B">
        <w:rPr>
          <w:rFonts w:ascii="Palatino Linotype" w:hAnsi="Palatino Linotype"/>
        </w:rPr>
        <w:t xml:space="preserve">Igualmente se considera que las empresas pueden reducir la ocurrencia de conflictos sociales si enfocan sus esfuerzos en acumular el “capital social vinculante”, concepto basado en la teoría de redes del capital social (Putnam, 1993 y 2000).  </w:t>
      </w:r>
      <w:r>
        <w:rPr>
          <w:rFonts w:ascii="Palatino Linotype" w:hAnsi="Palatino Linotype"/>
        </w:rPr>
        <w:t>Así, e</w:t>
      </w:r>
      <w:r w:rsidRPr="00542F9B">
        <w:rPr>
          <w:rFonts w:ascii="Palatino Linotype" w:hAnsi="Palatino Linotype"/>
        </w:rPr>
        <w:t>n esta investigación se define al capital social como el conjunto de normas y relaciones que permiten a las personas actuar colectivamente (Woolcock y Narayan, 2000);</w:t>
      </w:r>
      <w:r w:rsidR="00B6758E">
        <w:rPr>
          <w:rFonts w:ascii="Palatino Linotype" w:hAnsi="Palatino Linotype"/>
        </w:rPr>
        <w:t xml:space="preserve"> asimismo</w:t>
      </w:r>
      <w:r w:rsidRPr="00542F9B">
        <w:rPr>
          <w:rFonts w:ascii="Palatino Linotype" w:hAnsi="Palatino Linotype"/>
        </w:rPr>
        <w:t xml:space="preserve">, </w:t>
      </w:r>
      <w:r w:rsidR="00B6758E">
        <w:rPr>
          <w:rFonts w:ascii="Palatino Linotype" w:hAnsi="Palatino Linotype"/>
        </w:rPr>
        <w:t>se considera que</w:t>
      </w:r>
      <w:r w:rsidRPr="00542F9B">
        <w:rPr>
          <w:rFonts w:ascii="Palatino Linotype" w:hAnsi="Palatino Linotype"/>
        </w:rPr>
        <w:t xml:space="preserve"> el capital social vinculante </w:t>
      </w:r>
      <w:r w:rsidR="00B6758E">
        <w:rPr>
          <w:rFonts w:ascii="Palatino Linotype" w:hAnsi="Palatino Linotype"/>
        </w:rPr>
        <w:t xml:space="preserve">extiende la definición de capital social al considerar a </w:t>
      </w:r>
      <w:r w:rsidRPr="00542F9B">
        <w:rPr>
          <w:rFonts w:ascii="Palatino Linotype" w:hAnsi="Palatino Linotype"/>
        </w:rPr>
        <w:t>las redes sociales entre actores heterogéneos</w:t>
      </w:r>
      <w:r w:rsidR="006B31DB">
        <w:rPr>
          <w:rFonts w:ascii="Palatino Linotype" w:hAnsi="Palatino Linotype"/>
        </w:rPr>
        <w:t xml:space="preserve"> como un mecanismo para fortalecer las relaciones entre dichos actores</w:t>
      </w:r>
      <w:r w:rsidRPr="00542F9B">
        <w:rPr>
          <w:rFonts w:ascii="Palatino Linotype" w:hAnsi="Palatino Linotype"/>
        </w:rPr>
        <w:t>.</w:t>
      </w:r>
    </w:p>
    <w:p w14:paraId="02703033" w14:textId="77777777" w:rsidR="00895F12" w:rsidRDefault="00895F12" w:rsidP="00895F12">
      <w:pPr>
        <w:autoSpaceDE w:val="0"/>
        <w:autoSpaceDN w:val="0"/>
        <w:adjustRightInd w:val="0"/>
        <w:spacing w:after="0"/>
        <w:jc w:val="both"/>
        <w:rPr>
          <w:rFonts w:ascii="Palatino Linotype" w:hAnsi="Palatino Linotype"/>
        </w:rPr>
      </w:pPr>
      <w:r>
        <w:rPr>
          <w:rFonts w:ascii="Palatino Linotype" w:hAnsi="Palatino Linotype"/>
        </w:rPr>
        <w:t>Con respecto al capital social se ha encontrado que la literatura está subdividida en tres enfoques fundamentales: El enfoque de Bourdieu (1986), el correspondiente a Coleman (1987, 1988, 1990) y el enfoque de Putnam (1993, 1995). Además, al revisar la literatura se ha encontrado cuatro perspectivas adicionales del capital social, los cuales están relacionados al desarrollo socio-económico de cada uno de los participantes</w:t>
      </w:r>
      <w:r>
        <w:rPr>
          <w:rStyle w:val="Refdenotaalpie"/>
          <w:rFonts w:ascii="Palatino Linotype" w:hAnsi="Palatino Linotype"/>
        </w:rPr>
        <w:footnoteReference w:id="1"/>
      </w:r>
      <w:r>
        <w:rPr>
          <w:rFonts w:ascii="Palatino Linotype" w:hAnsi="Palatino Linotype"/>
        </w:rPr>
        <w:t xml:space="preserve">, por ejemplo la comunidad y la empresa. Esto último es importante debido a que brinda un marco teórico para estudiar el rol de las relaciones entre los diferentes actores sociales en el </w:t>
      </w:r>
      <w:r>
        <w:rPr>
          <w:rFonts w:ascii="Palatino Linotype" w:hAnsi="Palatino Linotype"/>
        </w:rPr>
        <w:lastRenderedPageBreak/>
        <w:t>desarrollo socio-económico de cada uno de ellos. En el caso de la empresa, cómo estas relaciones pueden influir en la valoración de la misma (precio de las acciones); y en el caso de la comunidad, cómo estas relaciones influyen sobre su desarrollo socio-económico (</w:t>
      </w:r>
      <w:r w:rsidRPr="001A17ED">
        <w:rPr>
          <w:rFonts w:ascii="Palatino Linotype" w:hAnsi="Palatino Linotype"/>
        </w:rPr>
        <w:t>Burt, 1997;</w:t>
      </w:r>
      <w:r>
        <w:rPr>
          <w:rFonts w:ascii="Palatino Linotype" w:hAnsi="Palatino Linotype"/>
        </w:rPr>
        <w:t xml:space="preserve"> </w:t>
      </w:r>
      <w:r w:rsidRPr="001A17ED">
        <w:rPr>
          <w:rFonts w:ascii="Palatino Linotype" w:hAnsi="Palatino Linotype"/>
        </w:rPr>
        <w:t xml:space="preserve">Montgomery, 1991; Narayan </w:t>
      </w:r>
      <w:r>
        <w:rPr>
          <w:rFonts w:ascii="Palatino Linotype" w:hAnsi="Palatino Linotype"/>
        </w:rPr>
        <w:t>y</w:t>
      </w:r>
      <w:r w:rsidRPr="001A17ED">
        <w:rPr>
          <w:rFonts w:ascii="Palatino Linotype" w:hAnsi="Palatino Linotype"/>
        </w:rPr>
        <w:t xml:space="preserve"> Pritchett, </w:t>
      </w:r>
      <w:r>
        <w:rPr>
          <w:rFonts w:ascii="Palatino Linotype" w:hAnsi="Palatino Linotype"/>
        </w:rPr>
        <w:t>1999; Grootaert, 1999; Robinson y</w:t>
      </w:r>
      <w:r w:rsidRPr="001A17ED">
        <w:rPr>
          <w:rFonts w:ascii="Palatino Linotype" w:hAnsi="Palatino Linotype"/>
        </w:rPr>
        <w:t xml:space="preserve"> Siles, 1997</w:t>
      </w:r>
      <w:r>
        <w:rPr>
          <w:rFonts w:ascii="Palatino Linotype" w:hAnsi="Palatino Linotype"/>
        </w:rPr>
        <w:t xml:space="preserve">).  </w:t>
      </w:r>
    </w:p>
    <w:p w14:paraId="24F5D677" w14:textId="77777777" w:rsidR="00895F12" w:rsidRDefault="00895F12" w:rsidP="00895F12">
      <w:pPr>
        <w:autoSpaceDE w:val="0"/>
        <w:autoSpaceDN w:val="0"/>
        <w:adjustRightInd w:val="0"/>
        <w:spacing w:after="0" w:line="240" w:lineRule="auto"/>
        <w:jc w:val="both"/>
        <w:rPr>
          <w:rFonts w:ascii="Palatino Linotype" w:hAnsi="Palatino Linotype"/>
        </w:rPr>
      </w:pPr>
    </w:p>
    <w:p w14:paraId="7D827C7D" w14:textId="714ED587" w:rsidR="00D8611F" w:rsidRPr="001C12AB" w:rsidRDefault="00895F12" w:rsidP="001C12AB">
      <w:pPr>
        <w:spacing w:after="0"/>
        <w:jc w:val="both"/>
        <w:rPr>
          <w:rFonts w:ascii="Palatino Linotype" w:hAnsi="Palatino Linotype"/>
        </w:rPr>
      </w:pPr>
      <w:r>
        <w:rPr>
          <w:rFonts w:ascii="Palatino Linotype" w:hAnsi="Palatino Linotype"/>
        </w:rPr>
        <w:t>Cabe subrayar que los tres primeros enfoques (Bourdieu, 1986; Coleman, 1990; Putnam, 1993) son considerados como los e</w:t>
      </w:r>
      <w:r w:rsidR="00A8463A">
        <w:rPr>
          <w:rFonts w:ascii="Palatino Linotype" w:hAnsi="Palatino Linotype"/>
        </w:rPr>
        <w:t xml:space="preserve">nfoques “fundamentales”, sobre </w:t>
      </w:r>
      <w:r w:rsidR="00A8463A">
        <w:rPr>
          <w:rFonts w:ascii="Palatino Linotype" w:hAnsi="Palatino Linotype"/>
          <w:lang w:val="es-ES"/>
        </w:rPr>
        <w:t>é</w:t>
      </w:r>
      <w:r>
        <w:rPr>
          <w:rFonts w:ascii="Palatino Linotype" w:hAnsi="Palatino Linotype"/>
        </w:rPr>
        <w:t xml:space="preserve">stos se ha desarrollado diversas investigaciones. Mientras que las últimos cuatro perspectivas acotan el estudio del capital social a su relación con el desarrollo socio-económico </w:t>
      </w:r>
      <w:r w:rsidRPr="00F05697">
        <w:rPr>
          <w:rFonts w:ascii="Palatino Linotype" w:hAnsi="Palatino Linotype"/>
        </w:rPr>
        <w:t>(Woolcock y Narayan, 2000</w:t>
      </w:r>
      <w:r>
        <w:rPr>
          <w:rFonts w:ascii="Palatino Linotype" w:hAnsi="Palatino Linotype"/>
        </w:rPr>
        <w:t>; Platteau, 1994; Woolcock, 1998</w:t>
      </w:r>
      <w:r w:rsidRPr="00F05697">
        <w:rPr>
          <w:rFonts w:ascii="Palatino Linotype" w:hAnsi="Palatino Linotype"/>
        </w:rPr>
        <w:t>)</w:t>
      </w:r>
      <w:r w:rsidR="00D8611F">
        <w:rPr>
          <w:rFonts w:ascii="Palatino Linotype" w:hAnsi="Palatino Linotype"/>
        </w:rPr>
        <w:t>.</w:t>
      </w:r>
    </w:p>
    <w:p w14:paraId="1F34BDFF" w14:textId="77777777" w:rsidR="00330B6E" w:rsidRDefault="00330B6E" w:rsidP="00654B1D">
      <w:pPr>
        <w:spacing w:after="0"/>
        <w:rPr>
          <w:rFonts w:ascii="Palatino Linotype" w:hAnsi="Palatino Linotype"/>
          <w:b/>
          <w:i/>
        </w:rPr>
      </w:pPr>
    </w:p>
    <w:p w14:paraId="22F457AE" w14:textId="77777777" w:rsidR="00AF16C8" w:rsidRDefault="00AF16C8" w:rsidP="00654B1D">
      <w:pPr>
        <w:spacing w:after="0"/>
        <w:rPr>
          <w:rFonts w:ascii="Palatino Linotype" w:hAnsi="Palatino Linotype"/>
          <w:b/>
          <w:i/>
        </w:rPr>
      </w:pPr>
    </w:p>
    <w:p w14:paraId="017DFA24" w14:textId="7EE72993" w:rsidR="00DF15F3" w:rsidRDefault="00330B6E" w:rsidP="00654B1D">
      <w:pPr>
        <w:spacing w:after="0"/>
        <w:rPr>
          <w:rFonts w:ascii="Palatino Linotype" w:hAnsi="Palatino Linotype"/>
          <w:b/>
          <w:i/>
        </w:rPr>
      </w:pPr>
      <w:r w:rsidRPr="00F77ACD">
        <w:rPr>
          <w:rFonts w:ascii="Palatino Linotype" w:hAnsi="Palatino Linotype"/>
          <w:sz w:val="24"/>
          <w:szCs w:val="24"/>
        </w:rPr>
        <w:t xml:space="preserve">H.2 </w:t>
      </w:r>
      <w:r>
        <w:rPr>
          <w:rFonts w:ascii="Palatino Linotype" w:hAnsi="Palatino Linotype"/>
          <w:sz w:val="24"/>
          <w:szCs w:val="24"/>
        </w:rPr>
        <w:t xml:space="preserve">.1- </w:t>
      </w:r>
      <w:r w:rsidR="00DF15F3" w:rsidRPr="00654B1D">
        <w:rPr>
          <w:rFonts w:ascii="Palatino Linotype" w:hAnsi="Palatino Linotype"/>
          <w:b/>
          <w:i/>
        </w:rPr>
        <w:t>El rol del capital social en la empresa</w:t>
      </w:r>
    </w:p>
    <w:p w14:paraId="3A938DAC" w14:textId="77777777" w:rsidR="00D8611F" w:rsidRDefault="00D8611F" w:rsidP="008E6EED">
      <w:pPr>
        <w:spacing w:after="0"/>
        <w:jc w:val="both"/>
        <w:rPr>
          <w:rFonts w:ascii="Palatino Linotype" w:hAnsi="Palatino Linotype"/>
          <w:b/>
          <w:i/>
        </w:rPr>
      </w:pPr>
    </w:p>
    <w:p w14:paraId="58F1DC9E" w14:textId="353ADD28" w:rsidR="00DF15F3" w:rsidRPr="00E8009B" w:rsidRDefault="00DF15F3" w:rsidP="008E6EED">
      <w:pPr>
        <w:spacing w:after="0"/>
        <w:jc w:val="both"/>
        <w:rPr>
          <w:rFonts w:ascii="Palatino Linotype" w:hAnsi="Palatino Linotype"/>
          <w:lang w:val="es-ES"/>
        </w:rPr>
      </w:pPr>
      <w:r>
        <w:rPr>
          <w:rFonts w:ascii="Palatino Linotype" w:hAnsi="Palatino Linotype"/>
        </w:rPr>
        <w:t>La literatura del capital social se ha enfocado principalmente sobre el indiv</w:t>
      </w:r>
      <w:r w:rsidR="00A8463A">
        <w:rPr>
          <w:rFonts w:ascii="Palatino Linotype" w:hAnsi="Palatino Linotype"/>
        </w:rPr>
        <w:t xml:space="preserve">iduo y como </w:t>
      </w:r>
      <w:r w:rsidR="00A8463A">
        <w:rPr>
          <w:rFonts w:ascii="Palatino Linotype" w:hAnsi="Palatino Linotype"/>
          <w:lang w:val="es-ES"/>
        </w:rPr>
        <w:t>é</w:t>
      </w:r>
      <w:r>
        <w:rPr>
          <w:rFonts w:ascii="Palatino Linotype" w:hAnsi="Palatino Linotype"/>
        </w:rPr>
        <w:t xml:space="preserve">ste acumula y utiliza el capital social. En un nivel más agregado, </w:t>
      </w:r>
      <w:r w:rsidRPr="00E8009B">
        <w:rPr>
          <w:rFonts w:ascii="Palatino Linotype" w:hAnsi="Palatino Linotype"/>
          <w:lang w:val="es-ES"/>
        </w:rPr>
        <w:t>Dorobantu et al. (2012) estudia el rol del capital social en el contexto de los conflictos sociales.</w:t>
      </w:r>
    </w:p>
    <w:p w14:paraId="51A97350" w14:textId="77777777" w:rsidR="00DF15F3" w:rsidRDefault="00DF15F3" w:rsidP="00DF15F3">
      <w:pPr>
        <w:spacing w:after="0"/>
        <w:rPr>
          <w:rFonts w:ascii="Palatino Linotype" w:hAnsi="Palatino Linotype"/>
          <w:lang w:val="es-ES"/>
        </w:rPr>
      </w:pPr>
    </w:p>
    <w:p w14:paraId="6CB9A82A" w14:textId="7B14947D" w:rsidR="00DF15F3" w:rsidRDefault="00DF15F3" w:rsidP="00DF15F3">
      <w:pPr>
        <w:spacing w:after="0"/>
        <w:jc w:val="both"/>
        <w:rPr>
          <w:rFonts w:ascii="Palatino Linotype" w:hAnsi="Palatino Linotype"/>
        </w:rPr>
      </w:pPr>
      <w:r w:rsidRPr="00DC1E96">
        <w:rPr>
          <w:rFonts w:ascii="Palatino Linotype" w:hAnsi="Palatino Linotype"/>
        </w:rPr>
        <w:t xml:space="preserve">Estos autores consideran que el capital social </w:t>
      </w:r>
      <w:r>
        <w:rPr>
          <w:rFonts w:ascii="Palatino Linotype" w:hAnsi="Palatino Linotype"/>
        </w:rPr>
        <w:t>cumple</w:t>
      </w:r>
      <w:r w:rsidRPr="00DC1E96">
        <w:rPr>
          <w:rFonts w:ascii="Palatino Linotype" w:hAnsi="Palatino Linotype"/>
        </w:rPr>
        <w:t xml:space="preserve"> </w:t>
      </w:r>
      <w:r>
        <w:rPr>
          <w:rFonts w:ascii="Palatino Linotype" w:hAnsi="Palatino Linotype"/>
        </w:rPr>
        <w:t xml:space="preserve">el </w:t>
      </w:r>
      <w:r w:rsidRPr="00DC1E96">
        <w:rPr>
          <w:rFonts w:ascii="Palatino Linotype" w:hAnsi="Palatino Linotype"/>
        </w:rPr>
        <w:t xml:space="preserve">rol de </w:t>
      </w:r>
      <w:r w:rsidRPr="00E37378">
        <w:rPr>
          <w:rFonts w:ascii="Palatino Linotype" w:hAnsi="Palatino Linotype"/>
          <w:b/>
          <w:i/>
        </w:rPr>
        <w:t>seguro</w:t>
      </w:r>
      <w:r w:rsidRPr="00DC1E96">
        <w:rPr>
          <w:rFonts w:ascii="Palatino Linotype" w:hAnsi="Palatino Linotype"/>
        </w:rPr>
        <w:t xml:space="preserve">; es decir, </w:t>
      </w:r>
      <w:r>
        <w:rPr>
          <w:rFonts w:ascii="Palatino Linotype" w:hAnsi="Palatino Linotype"/>
        </w:rPr>
        <w:t xml:space="preserve">aquellas </w:t>
      </w:r>
      <w:r w:rsidRPr="00DC1E96">
        <w:rPr>
          <w:rFonts w:ascii="Palatino Linotype" w:hAnsi="Palatino Linotype"/>
        </w:rPr>
        <w:t>empresas con un mayor capital social experimentan menos destrucción del valor de mercado</w:t>
      </w:r>
      <w:r>
        <w:rPr>
          <w:rFonts w:ascii="Palatino Linotype" w:hAnsi="Palatino Linotype"/>
        </w:rPr>
        <w:t>, la cual proviene</w:t>
      </w:r>
      <w:r w:rsidRPr="00DC1E96">
        <w:rPr>
          <w:rFonts w:ascii="Palatino Linotype" w:hAnsi="Palatino Linotype"/>
        </w:rPr>
        <w:t xml:space="preserve"> de un evento negativo como </w:t>
      </w:r>
      <w:r>
        <w:rPr>
          <w:rFonts w:ascii="Palatino Linotype" w:hAnsi="Palatino Linotype"/>
        </w:rPr>
        <w:t>un conflicto social. Según estos autores, el mecanismo tiene dos componentes: En primer lugar, el capital social provee un reservorio de “benevolencia”; es decir, brinda a los stakeholders la oportunidad de otorgar el beneficio de la duda cuando la empresa es objeto de críticas (</w:t>
      </w:r>
      <w:r w:rsidR="00352B05">
        <w:rPr>
          <w:rFonts w:ascii="Palatino Linotype" w:hAnsi="Palatino Linotype"/>
        </w:rPr>
        <w:t>Jones et. al.</w:t>
      </w:r>
      <w:r w:rsidRPr="00250222">
        <w:rPr>
          <w:rFonts w:ascii="Palatino Linotype" w:hAnsi="Palatino Linotype"/>
        </w:rPr>
        <w:t>, 2000; Fombrun, 2001</w:t>
      </w:r>
      <w:r>
        <w:rPr>
          <w:rFonts w:ascii="Palatino Linotype" w:hAnsi="Palatino Linotype"/>
        </w:rPr>
        <w:t>). En segundo lugar, la empresa con alto capital social puede ver como sus stakeholders asociados defienden las actividades de la empresa de quienes lo critican.</w:t>
      </w:r>
    </w:p>
    <w:p w14:paraId="297546E0" w14:textId="77777777" w:rsidR="00DF15F3" w:rsidRDefault="00DF15F3" w:rsidP="00DF15F3">
      <w:pPr>
        <w:spacing w:after="0"/>
        <w:jc w:val="both"/>
        <w:rPr>
          <w:rFonts w:ascii="Palatino Linotype" w:hAnsi="Palatino Linotype"/>
        </w:rPr>
      </w:pPr>
    </w:p>
    <w:p w14:paraId="366894C3" w14:textId="44056065" w:rsidR="00DF15F3" w:rsidRDefault="00DF15F3" w:rsidP="00DF15F3">
      <w:pPr>
        <w:spacing w:after="0"/>
        <w:jc w:val="both"/>
        <w:rPr>
          <w:rFonts w:ascii="Palatino Linotype" w:hAnsi="Palatino Linotype"/>
        </w:rPr>
      </w:pPr>
      <w:r>
        <w:rPr>
          <w:rFonts w:ascii="Palatino Linotype" w:hAnsi="Palatino Linotype"/>
        </w:rPr>
        <w:t xml:space="preserve">En esta investigación, en la misma línea de </w:t>
      </w:r>
      <w:r w:rsidRPr="00E8009B">
        <w:rPr>
          <w:rFonts w:ascii="Palatino Linotype" w:hAnsi="Palatino Linotype"/>
          <w:lang w:val="es-ES"/>
        </w:rPr>
        <w:t xml:space="preserve">Dorobantu et al. (2012), </w:t>
      </w:r>
      <w:r w:rsidRPr="00250222">
        <w:rPr>
          <w:rFonts w:ascii="Palatino Linotype" w:hAnsi="Palatino Linotype"/>
        </w:rPr>
        <w:t>se consider</w:t>
      </w:r>
      <w:r>
        <w:rPr>
          <w:rFonts w:ascii="Palatino Linotype" w:hAnsi="Palatino Linotype"/>
        </w:rPr>
        <w:t>a</w:t>
      </w:r>
      <w:r w:rsidRPr="00250222">
        <w:rPr>
          <w:rFonts w:ascii="Palatino Linotype" w:hAnsi="Palatino Linotype"/>
        </w:rPr>
        <w:t xml:space="preserve"> qu</w:t>
      </w:r>
      <w:r>
        <w:rPr>
          <w:rFonts w:ascii="Palatino Linotype" w:hAnsi="Palatino Linotype"/>
        </w:rPr>
        <w:t>e el capital social podría comportarse como un seguro de tal manera que podría moderar (o limitar) los efectos de los conflictos sociales.</w:t>
      </w:r>
    </w:p>
    <w:p w14:paraId="651FD4BB" w14:textId="0F86B941" w:rsidR="00DF15F3" w:rsidRDefault="00A8463A" w:rsidP="00734BFB">
      <w:pPr>
        <w:pStyle w:val="Ttulo1"/>
        <w:tabs>
          <w:tab w:val="left" w:pos="426"/>
        </w:tabs>
      </w:pPr>
      <w:r w:rsidRPr="00734BFB">
        <w:t>MODELO E HIPÓTESIS DE INVESTIGACIÓN</w:t>
      </w:r>
    </w:p>
    <w:p w14:paraId="5D123863" w14:textId="77777777" w:rsidR="00A8463A" w:rsidRPr="00A8463A" w:rsidRDefault="00A8463A" w:rsidP="00A8463A"/>
    <w:p w14:paraId="54FD9FA5" w14:textId="77777777" w:rsidR="008E6EED" w:rsidRDefault="008E6EED" w:rsidP="008E6EED">
      <w:pPr>
        <w:autoSpaceDE w:val="0"/>
        <w:autoSpaceDN w:val="0"/>
        <w:adjustRightInd w:val="0"/>
        <w:spacing w:after="0"/>
        <w:jc w:val="both"/>
        <w:rPr>
          <w:rFonts w:ascii="Palatino Linotype" w:hAnsi="Palatino Linotype" w:cs="Times New Roman"/>
        </w:rPr>
      </w:pPr>
      <w:r w:rsidRPr="0043462D">
        <w:rPr>
          <w:rFonts w:ascii="Palatino Linotype" w:hAnsi="Palatino Linotype" w:cs="Times New Roman"/>
        </w:rPr>
        <w:t xml:space="preserve">De la revisión de la literatura se ha encontrado dos brechas de investigación. La primera es que la mayoría de investigaciones </w:t>
      </w:r>
      <w:r>
        <w:rPr>
          <w:rFonts w:ascii="Palatino Linotype" w:hAnsi="Palatino Linotype" w:cs="Times New Roman"/>
        </w:rPr>
        <w:t>enfatiza el estudio de</w:t>
      </w:r>
      <w:r w:rsidRPr="0043462D">
        <w:rPr>
          <w:rFonts w:ascii="Palatino Linotype" w:hAnsi="Palatino Linotype" w:cs="Times New Roman"/>
        </w:rPr>
        <w:t xml:space="preserve"> los factores que explican la licencia social (</w:t>
      </w:r>
      <w:r>
        <w:rPr>
          <w:rFonts w:ascii="Palatino Linotype" w:hAnsi="Palatino Linotype" w:cs="Times New Roman"/>
        </w:rPr>
        <w:t>Prno</w:t>
      </w:r>
      <w:r w:rsidRPr="0043462D">
        <w:rPr>
          <w:rFonts w:ascii="Palatino Linotype" w:hAnsi="Palatino Linotype" w:cs="Times New Roman"/>
        </w:rPr>
        <w:t xml:space="preserve"> 2013; </w:t>
      </w:r>
      <w:r>
        <w:rPr>
          <w:rFonts w:ascii="Palatino Linotype" w:hAnsi="Palatino Linotype" w:cs="Times New Roman"/>
        </w:rPr>
        <w:t>Thomson y Boutilier 2011; Moffat y Zhang</w:t>
      </w:r>
      <w:r w:rsidRPr="0043462D">
        <w:rPr>
          <w:rFonts w:ascii="Palatino Linotype" w:hAnsi="Palatino Linotype" w:cs="Times New Roman"/>
        </w:rPr>
        <w:t xml:space="preserve"> 2014)</w:t>
      </w:r>
      <w:r>
        <w:rPr>
          <w:rFonts w:ascii="Palatino Linotype" w:hAnsi="Palatino Linotype" w:cs="Times New Roman"/>
        </w:rPr>
        <w:t>,</w:t>
      </w:r>
      <w:r w:rsidRPr="0043462D">
        <w:rPr>
          <w:rFonts w:ascii="Palatino Linotype" w:hAnsi="Palatino Linotype" w:cs="Times New Roman"/>
        </w:rPr>
        <w:t xml:space="preserve"> dejando de </w:t>
      </w:r>
      <w:r w:rsidRPr="0043462D">
        <w:rPr>
          <w:rFonts w:ascii="Palatino Linotype" w:hAnsi="Palatino Linotype" w:cs="Times New Roman"/>
        </w:rPr>
        <w:lastRenderedPageBreak/>
        <w:t>lado el estudio de sus efectos sobre los stakeholders involucrados. La segunda es que dichas investigaciones estudian la licencia social en el contexto de países desarrollados dejando para el estudio de caso las experiencias de los países en desarrollo (</w:t>
      </w:r>
      <w:r>
        <w:rPr>
          <w:rFonts w:ascii="Palatino Linotype" w:hAnsi="Palatino Linotype" w:cs="Times New Roman"/>
        </w:rPr>
        <w:t xml:space="preserve">Nelsen y Scoble 2006; </w:t>
      </w:r>
      <w:r w:rsidRPr="0043462D">
        <w:rPr>
          <w:rFonts w:ascii="Palatino Linotype" w:hAnsi="Palatino Linotype" w:cs="Times New Roman"/>
        </w:rPr>
        <w:t xml:space="preserve">Jepsen et al. 2005; Kemp 2010; Berkes et al. 1991; Webler </w:t>
      </w:r>
      <w:r>
        <w:rPr>
          <w:rFonts w:ascii="Palatino Linotype" w:hAnsi="Palatino Linotype" w:cs="Times New Roman"/>
        </w:rPr>
        <w:t>y</w:t>
      </w:r>
      <w:r w:rsidRPr="0043462D">
        <w:rPr>
          <w:rFonts w:ascii="Palatino Linotype" w:hAnsi="Palatino Linotype" w:cs="Times New Roman"/>
        </w:rPr>
        <w:t xml:space="preserve"> Renn 1995; Agrawal </w:t>
      </w:r>
      <w:r>
        <w:rPr>
          <w:rFonts w:ascii="Palatino Linotype" w:hAnsi="Palatino Linotype" w:cs="Times New Roman"/>
        </w:rPr>
        <w:t>y</w:t>
      </w:r>
      <w:r w:rsidRPr="0043462D">
        <w:rPr>
          <w:rFonts w:ascii="Palatino Linotype" w:hAnsi="Palatino Linotype" w:cs="Times New Roman"/>
        </w:rPr>
        <w:t xml:space="preserve"> Gibson 1999; Cleaver</w:t>
      </w:r>
      <w:r>
        <w:rPr>
          <w:rFonts w:ascii="Palatino Linotype" w:hAnsi="Palatino Linotype" w:cs="Times New Roman"/>
        </w:rPr>
        <w:t xml:space="preserve"> </w:t>
      </w:r>
      <w:r w:rsidRPr="0043462D">
        <w:rPr>
          <w:rFonts w:ascii="Palatino Linotype" w:hAnsi="Palatino Linotype" w:cs="Times New Roman"/>
        </w:rPr>
        <w:t xml:space="preserve">1999; Rowe </w:t>
      </w:r>
      <w:r>
        <w:rPr>
          <w:rFonts w:ascii="Palatino Linotype" w:hAnsi="Palatino Linotype" w:cs="Times New Roman"/>
        </w:rPr>
        <w:t>y Frewer 2000).</w:t>
      </w:r>
    </w:p>
    <w:p w14:paraId="20E2544F" w14:textId="77777777" w:rsidR="008E6EED" w:rsidRPr="0043462D" w:rsidRDefault="008E6EED" w:rsidP="008E6EED">
      <w:pPr>
        <w:autoSpaceDE w:val="0"/>
        <w:autoSpaceDN w:val="0"/>
        <w:adjustRightInd w:val="0"/>
        <w:spacing w:after="0" w:line="240" w:lineRule="auto"/>
        <w:jc w:val="both"/>
        <w:rPr>
          <w:rFonts w:ascii="Palatino Linotype" w:hAnsi="Palatino Linotype" w:cs="Times New Roman"/>
        </w:rPr>
      </w:pPr>
    </w:p>
    <w:p w14:paraId="33950B73" w14:textId="1A3AE237" w:rsidR="005F13DD" w:rsidRDefault="008E6EED" w:rsidP="0056181E">
      <w:pPr>
        <w:jc w:val="both"/>
        <w:rPr>
          <w:rFonts w:ascii="Palatino Linotype" w:hAnsi="Palatino Linotype"/>
        </w:rPr>
      </w:pPr>
      <w:r>
        <w:rPr>
          <w:rFonts w:ascii="Palatino Linotype" w:hAnsi="Palatino Linotype"/>
        </w:rPr>
        <w:t>Con el fin de contribuir en cerrar dichas brechas de investigación, este estudio busca analizar el efecto de</w:t>
      </w:r>
      <w:r w:rsidR="00A8463A">
        <w:rPr>
          <w:rFonts w:ascii="Palatino Linotype" w:hAnsi="Palatino Linotype"/>
        </w:rPr>
        <w:t xml:space="preserve">l conflicto y el capital social </w:t>
      </w:r>
      <w:r>
        <w:rPr>
          <w:rFonts w:ascii="Palatino Linotype" w:hAnsi="Palatino Linotype"/>
        </w:rPr>
        <w:t>sobre uno de los stakeholders involucrados: La empresa. En particular, esta investigación busca medir el efecto de</w:t>
      </w:r>
      <w:r w:rsidR="00A8463A">
        <w:rPr>
          <w:rFonts w:ascii="Palatino Linotype" w:hAnsi="Palatino Linotype"/>
        </w:rPr>
        <w:t xml:space="preserve">l </w:t>
      </w:r>
      <w:r>
        <w:rPr>
          <w:rFonts w:ascii="Palatino Linotype" w:hAnsi="Palatino Linotype"/>
        </w:rPr>
        <w:t xml:space="preserve">conflicto social </w:t>
      </w:r>
      <w:r w:rsidR="00A8463A">
        <w:rPr>
          <w:rFonts w:ascii="Palatino Linotype" w:hAnsi="Palatino Linotype"/>
        </w:rPr>
        <w:t xml:space="preserve">y del capital social </w:t>
      </w:r>
      <w:r>
        <w:rPr>
          <w:rFonts w:ascii="Palatino Linotype" w:hAnsi="Palatino Linotype"/>
        </w:rPr>
        <w:t xml:space="preserve">sobre el valor de la empresa (precio de la acción listada en la bolsa de valores). </w:t>
      </w:r>
      <w:r w:rsidR="00A8463A">
        <w:rPr>
          <w:rFonts w:ascii="Palatino Linotype" w:hAnsi="Palatino Linotype"/>
        </w:rPr>
        <w:t xml:space="preserve"> Por tanto, en el </w:t>
      </w:r>
      <w:r w:rsidRPr="008E6EED">
        <w:rPr>
          <w:rFonts w:ascii="Palatino Linotype" w:hAnsi="Palatino Linotype"/>
          <w:b/>
          <w:i/>
        </w:rPr>
        <w:t>gráfico 2</w:t>
      </w:r>
      <w:r>
        <w:rPr>
          <w:rFonts w:ascii="Palatino Linotype" w:hAnsi="Palatino Linotype"/>
        </w:rPr>
        <w:t xml:space="preserve"> </w:t>
      </w:r>
      <w:r w:rsidR="00A8463A">
        <w:rPr>
          <w:rFonts w:ascii="Palatino Linotype" w:hAnsi="Palatino Linotype"/>
        </w:rPr>
        <w:t xml:space="preserve">se presenta el modelo propuesto y se exponen las </w:t>
      </w:r>
      <w:r>
        <w:rPr>
          <w:rFonts w:ascii="Palatino Linotype" w:hAnsi="Palatino Linotype"/>
        </w:rPr>
        <w:t>relaciones</w:t>
      </w:r>
      <w:r w:rsidR="00A8463A">
        <w:rPr>
          <w:rFonts w:ascii="Palatino Linotype" w:hAnsi="Palatino Linotype"/>
        </w:rPr>
        <w:t xml:space="preserve"> </w:t>
      </w:r>
      <w:r w:rsidR="0056181E">
        <w:rPr>
          <w:rFonts w:ascii="Palatino Linotype" w:hAnsi="Palatino Linotype"/>
        </w:rPr>
        <w:t>entre las variables</w:t>
      </w:r>
      <w:r>
        <w:rPr>
          <w:rFonts w:ascii="Palatino Linotype" w:hAnsi="Palatino Linotype"/>
        </w:rPr>
        <w:t>.</w:t>
      </w:r>
      <w:r w:rsidR="0056181E">
        <w:rPr>
          <w:rFonts w:ascii="Palatino Linotype" w:hAnsi="Palatino Linotype"/>
        </w:rPr>
        <w:t xml:space="preserve"> </w:t>
      </w:r>
      <w:r w:rsidR="005F13DD">
        <w:rPr>
          <w:rFonts w:ascii="Palatino Linotype" w:hAnsi="Palatino Linotype"/>
        </w:rPr>
        <w:t>Así</w:t>
      </w:r>
      <w:r w:rsidR="0056181E">
        <w:rPr>
          <w:rFonts w:ascii="Palatino Linotype" w:hAnsi="Palatino Linotype"/>
        </w:rPr>
        <w:t xml:space="preserve">, se generan dos principales hipótesis: </w:t>
      </w:r>
    </w:p>
    <w:p w14:paraId="296BED8C" w14:textId="53392D66" w:rsidR="005F13DD" w:rsidRPr="005F13DD" w:rsidRDefault="0056181E" w:rsidP="0056181E">
      <w:pPr>
        <w:jc w:val="both"/>
        <w:rPr>
          <w:rFonts w:ascii="Palatino Linotype" w:hAnsi="Palatino Linotype"/>
        </w:rPr>
      </w:pPr>
      <w:r w:rsidRPr="005F13DD">
        <w:rPr>
          <w:rFonts w:ascii="Palatino Linotype" w:hAnsi="Palatino Linotype"/>
        </w:rPr>
        <w:t>(H 1) El conflicto social afecta negativamente el precio de la empresa</w:t>
      </w:r>
      <w:r w:rsidR="005F13DD" w:rsidRPr="005F13DD">
        <w:rPr>
          <w:rFonts w:ascii="Palatino Linotype" w:hAnsi="Palatino Linotype"/>
        </w:rPr>
        <w:t xml:space="preserve">. </w:t>
      </w:r>
      <w:r w:rsidRPr="005F13DD">
        <w:rPr>
          <w:rFonts w:ascii="Palatino Linotype" w:hAnsi="Palatino Linotype"/>
        </w:rPr>
        <w:t xml:space="preserve"> </w:t>
      </w:r>
    </w:p>
    <w:p w14:paraId="4AD40DEC" w14:textId="1BCCA6CD" w:rsidR="0056181E" w:rsidRDefault="0056181E" w:rsidP="0056181E">
      <w:pPr>
        <w:jc w:val="both"/>
        <w:rPr>
          <w:rFonts w:ascii="Palatino Linotype" w:hAnsi="Palatino Linotype"/>
        </w:rPr>
      </w:pPr>
      <w:r w:rsidRPr="005F13DD">
        <w:rPr>
          <w:rFonts w:ascii="Palatino Linotype" w:hAnsi="Palatino Linotype"/>
        </w:rPr>
        <w:t>(H 2) la influencia negativa de los conflictos sociales sobre el precio de la acción es menor en aquellas empresas que dispongan de mayor capital social.</w:t>
      </w:r>
      <w:r>
        <w:rPr>
          <w:rFonts w:ascii="Palatino Linotype" w:hAnsi="Palatino Linotype"/>
        </w:rPr>
        <w:t xml:space="preserve"> </w:t>
      </w:r>
    </w:p>
    <w:p w14:paraId="33728138" w14:textId="77777777" w:rsidR="0056181E" w:rsidRPr="008E6EED" w:rsidRDefault="0056181E" w:rsidP="00A8463A">
      <w:pPr>
        <w:jc w:val="both"/>
        <w:rPr>
          <w:rFonts w:ascii="Palatino Linotype" w:hAnsi="Palatino Linotype"/>
        </w:rPr>
      </w:pPr>
    </w:p>
    <w:p w14:paraId="31C0B184" w14:textId="5B9C6623" w:rsidR="008E6EED" w:rsidRDefault="008E6EED" w:rsidP="008E6EED">
      <w:pPr>
        <w:jc w:val="center"/>
        <w:rPr>
          <w:rFonts w:ascii="Palatino Linotype" w:hAnsi="Palatino Linotype"/>
        </w:rPr>
      </w:pPr>
      <w:r>
        <w:rPr>
          <w:rFonts w:ascii="Palatino Linotype" w:eastAsia="Times New Roman" w:hAnsi="Palatino Linotype" w:cs="Times New Roman"/>
          <w:b/>
          <w:noProof/>
          <w:lang w:val="es-PE"/>
        </w:rPr>
        <mc:AlternateContent>
          <mc:Choice Requires="wps">
            <w:drawing>
              <wp:anchor distT="0" distB="0" distL="114300" distR="114300" simplePos="0" relativeHeight="251677694" behindDoc="0" locked="0" layoutInCell="1" allowOverlap="1" wp14:anchorId="552A78E0" wp14:editId="27879D1C">
                <wp:simplePos x="0" y="0"/>
                <wp:positionH relativeFrom="column">
                  <wp:posOffset>17145</wp:posOffset>
                </wp:positionH>
                <wp:positionV relativeFrom="paragraph">
                  <wp:posOffset>335711</wp:posOffset>
                </wp:positionV>
                <wp:extent cx="5654650" cy="1411833"/>
                <wp:effectExtent l="0" t="0" r="3810" b="0"/>
                <wp:wrapNone/>
                <wp:docPr id="19" name="19 Rectángulo"/>
                <wp:cNvGraphicFramePr/>
                <a:graphic xmlns:a="http://schemas.openxmlformats.org/drawingml/2006/main">
                  <a:graphicData uri="http://schemas.microsoft.com/office/word/2010/wordprocessingShape">
                    <wps:wsp>
                      <wps:cNvSpPr/>
                      <wps:spPr>
                        <a:xfrm>
                          <a:off x="0" y="0"/>
                          <a:ext cx="5654650" cy="1411833"/>
                        </a:xfrm>
                        <a:prstGeom prst="rect">
                          <a:avLst/>
                        </a:prstGeom>
                        <a:solidFill>
                          <a:schemeClr val="accent1">
                            <a:alpha val="1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2AD8DE" id="19 Rectángulo" o:spid="_x0000_s1026" style="position:absolute;margin-left:1.35pt;margin-top:26.45pt;width:445.25pt;height:111.15pt;z-index:2516776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ckogIAALAFAAAOAAAAZHJzL2Uyb0RvYy54bWysVMFu2zAMvQ/YPwi6r7bTpGuDOkXQosOA&#10;oivaDj2rshQLkEVNUuJkf7Nv2Y+Nkhy3a7sdhl1sUSQfySeSp2fbTpONcF6BqWl1UFIiDIdGmVVN&#10;v95ffjimxAdmGqbBiJruhKdni/fvTns7FxNoQTfCEQQxft7bmrYh2HlReN6KjvkDsMKgUoLrWEDR&#10;rYrGsR7RO11MyvKo6ME11gEX3uPtRVbSRcKXUvDwRUovAtE1xdxC+rr0fYzfYnHK5ivHbKv4kAb7&#10;hyw6pgwGHaEuWGBk7dQrqE5xBx5kOODQFSCl4iLVgNVU5Ytq7lpmRaoFyfF2pMn/P1h+vblxRDX4&#10;dieUGNbhG1Un5BaJ+/nDrNYaIkW99XO0vLM3bpA8HmO9W+m6+MdKyDbRuhtpFdtAOF7OjmbToxmy&#10;z1FXTavq+PAwohZP7tb58ElAR+Khpg7DJzrZ5sqHbLo3idE8aNVcKq2TEHtFnGtHNgxfmXEuTKiy&#10;u7Yty9fVtCzTc2PU1F3RI+XwG5g2EdJABM9x400RCcglp1PYaRHttLkVEtnDIicp4Ij8Ohffskbk&#10;6xmm8nYuCTAiS4w/Yudi/oCdsxzso6tIbT86l39LLDuPHikymDA6d8qAewtAI8ND5Gy/JylTE1l6&#10;hGaHveUgD523/FLh614xH26YwynDjsDNEb7gR2roawrDiZIW3Pe37qM9Nj9qKelxamvqv62ZE5To&#10;zwbH4qSaTuOYJ2E6+zhBwT3XPD7XmHV3DtgyFe4oy9Mx2ge9P0oH3QMumGWMiipmOMauKQ9uL5yH&#10;vE1wRXGxXCYzHG3LwpW5szyCR1Zj995vH5izQ4sHnI5r2E84m7/o9GwbPQ0s1wGkSmPwxOvAN66F&#10;1MTDCot757mcrJ4W7eIXAAAA//8DAFBLAwQUAAYACAAAACEAu9vba90AAAAIAQAADwAAAGRycy9k&#10;b3ducmV2LnhtbEyPwU7DMBBE70j8g7VI3KhTR6VtiFNFSIVeONDmA5x4SQLxOrLdJvw97qkcZ2c0&#10;8zbfzWZgF3S+tyRhuUiAITVW99RKqE77pw0wHxRpNVhCCb/oYVfc3+Uq03aiT7wcQ8tiCflMSehC&#10;GDPOfdOhUX5hR6TofVlnVIjStVw7NcVyM3CRJM/cqJ7iQqdGfO2w+TmejYR9WeFH+jZhla7fjSvr&#10;02EpvqV8fJjLF2AB53ALwxU/okMRmWp7Ju3ZIEGsY1DCSmyBRXuzTQWw+npfCeBFzv8/UPwBAAD/&#10;/wMAUEsBAi0AFAAGAAgAAAAhALaDOJL+AAAA4QEAABMAAAAAAAAAAAAAAAAAAAAAAFtDb250ZW50&#10;X1R5cGVzXS54bWxQSwECLQAUAAYACAAAACEAOP0h/9YAAACUAQAACwAAAAAAAAAAAAAAAAAvAQAA&#10;X3JlbHMvLnJlbHNQSwECLQAUAAYACAAAACEADWGXJKICAACwBQAADgAAAAAAAAAAAAAAAAAuAgAA&#10;ZHJzL2Uyb0RvYy54bWxQSwECLQAUAAYACAAAACEAu9vba90AAAAIAQAADwAAAAAAAAAAAAAAAAD8&#10;BAAAZHJzL2Rvd25yZXYueG1sUEsFBgAAAAAEAAQA8wAAAAYGAAAAAA==&#10;" fillcolor="#4f81bd [3204]" stroked="f" strokeweight="2pt">
                <v:fill opacity="9252f"/>
              </v:rect>
            </w:pict>
          </mc:Fallback>
        </mc:AlternateContent>
      </w:r>
      <w:r>
        <w:rPr>
          <w:rFonts w:ascii="Palatino Linotype" w:eastAsia="Times New Roman" w:hAnsi="Palatino Linotype" w:cs="Times New Roman"/>
          <w:b/>
        </w:rPr>
        <w:t>Gráfico 2.</w:t>
      </w:r>
      <w:r w:rsidRPr="003F4EAF">
        <w:rPr>
          <w:rFonts w:ascii="Palatino Linotype" w:eastAsia="Times New Roman" w:hAnsi="Palatino Linotype" w:cs="Times New Roman"/>
          <w:b/>
        </w:rPr>
        <w:t xml:space="preserve"> </w:t>
      </w:r>
      <w:r>
        <w:rPr>
          <w:rFonts w:ascii="Palatino Linotype" w:eastAsia="Times New Roman" w:hAnsi="Palatino Linotype" w:cs="Times New Roman"/>
        </w:rPr>
        <w:t xml:space="preserve">Modelo de investigación </w:t>
      </w:r>
    </w:p>
    <w:p w14:paraId="4866D6D1" w14:textId="317C8A1B" w:rsidR="008E6EED" w:rsidRDefault="008E6EED" w:rsidP="008E6EED">
      <w:pPr>
        <w:jc w:val="both"/>
        <w:rPr>
          <w:rFonts w:ascii="Palatino Linotype" w:hAnsi="Palatino Linotype"/>
        </w:rPr>
      </w:pPr>
      <w:r>
        <w:rPr>
          <w:rFonts w:ascii="Palatino Linotype" w:hAnsi="Palatino Linotype"/>
          <w:noProof/>
          <w:lang w:val="es-PE"/>
        </w:rPr>
        <mc:AlternateContent>
          <mc:Choice Requires="wps">
            <w:drawing>
              <wp:anchor distT="0" distB="0" distL="114300" distR="114300" simplePos="0" relativeHeight="251692032" behindDoc="0" locked="0" layoutInCell="1" allowOverlap="1" wp14:anchorId="000EDB9D" wp14:editId="6C354707">
                <wp:simplePos x="0" y="0"/>
                <wp:positionH relativeFrom="column">
                  <wp:posOffset>2391300</wp:posOffset>
                </wp:positionH>
                <wp:positionV relativeFrom="paragraph">
                  <wp:posOffset>186329</wp:posOffset>
                </wp:positionV>
                <wp:extent cx="445273" cy="230588"/>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445273"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E82AA" w14:textId="0E426190" w:rsidR="001C045B" w:rsidRPr="008E6EED" w:rsidRDefault="001C045B" w:rsidP="008E6EED">
                            <w:pPr>
                              <w:jc w:val="center"/>
                              <w:rPr>
                                <w:b/>
                              </w:rPr>
                            </w:pPr>
                            <w:r w:rsidRPr="008E6EED">
                              <w:rPr>
                                <w:b/>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DB9D" id="_x0000_t202" coordsize="21600,21600" o:spt="202" path="m,l,21600r21600,l21600,xe">
                <v:stroke joinstyle="miter"/>
                <v:path gradientshapeok="t" o:connecttype="rect"/>
              </v:shapetype>
              <v:shape id="15 Cuadro de texto" o:spid="_x0000_s1026" type="#_x0000_t202" style="position:absolute;left:0;text-align:left;margin-left:188.3pt;margin-top:14.65pt;width:35.05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TDggIAAGoFAAAOAAAAZHJzL2Uyb0RvYy54bWysVN9P2zAQfp+0/8Hy+0hbWsYqUtQVMU1C&#10;gAYTz65j02i2zzu7Tbq/fmcnKRXbC9NekrPvu8/3++KytYbtFIYaXMnHJyPOlJNQ1e655N8frz+c&#10;cxaicJUw4FTJ9yrwy8X7dxeNn6sJbMBUChmRuDBvfMk3Mfp5UQS5UVaEE/DKkVIDWhHpiM9FhaIh&#10;dmuKyWh0VjSAlUeQKgS6veqUfJH5tVYy3mkdVGSm5ORbzF/M33X6FosLMX9G4Te17N0Q/+CFFbWj&#10;Rw9UVyIKtsX6DypbS4QAOp5IsAVoXUuVY6BoxqNX0TxshFc5FkpO8Ic0hf9HK29398jqimo348wJ&#10;SzUaz9hqKyoEVikWVRshpanxYU7oB0/42H6GloDDfaDLFH2r0aY/xcVITwnfH5JMPEzS5XQ6m3w8&#10;5UySanI6mp2fJ5bixdhjiF8UWJaEkiPVMKdW7G5C7KADJL3l4Lo2JtfRONaU/Ox0NsoGBw2RG5ew&#10;KndET5MC6hzPUtwblTDGfVOaMpL9Txe5F9XKINsJ6iIhpXIxh555CZ1Qmpx4i2GPf/HqLcZdHMPL&#10;4OLB2NYOMEf/yu3qx+Cy7vCU86O4kxjbddsXeg3VnuqM0A1M8PK6pmrciBDvBdKEUGlp6uMdfbQB&#10;yjr0EmcbwF9/u094alzSctbQxJU8/NwKVJyZr45a+tN4Ok0jmg/T2ccJHfBYsz7WuK1dAZVjTPvF&#10;yywmfDSDqBHsEy2HZXqVVMJJervkcRBXsdsDtFykWi4ziIbSi3jjHrxM1Kk6qdce2yeBvm/INBG3&#10;MMymmL/qyw6bLB0stxF0nZs2JbjLap94Gujc9v3ySRvj+JxRLyty8RsAAP//AwBQSwMEFAAGAAgA&#10;AAAhAJMcGcXiAAAACQEAAA8AAABkcnMvZG93bnJldi54bWxMj01PwkAURfcm/ofJM3EnUwsMWPtK&#10;SBNiYnQBsnE37TzaxvmonQEqv95hpcuXe3LveflqNJqdaPCdswiPkwQY2dqpzjYI+4/NwxKYD9Iq&#10;qZ0lhB/ysCpub3KZKXe2WzrtQsNiifWZRGhD6DPOfd2SkX7ierIxO7jByBDPoeFqkOdYbjRPk0Rw&#10;IzsbF1rZU9lS/bU7GoTXcvMut1Vqlhddvrwd1v33/nOOeH83rp+BBRrDHwxX/agORXSq3NEqzzTC&#10;dCFERBHSpymwCMxmYgGsQhBzAbzI+f8Pil8AAAD//wMAUEsBAi0AFAAGAAgAAAAhALaDOJL+AAAA&#10;4QEAABMAAAAAAAAAAAAAAAAAAAAAAFtDb250ZW50X1R5cGVzXS54bWxQSwECLQAUAAYACAAAACEA&#10;OP0h/9YAAACUAQAACwAAAAAAAAAAAAAAAAAvAQAAX3JlbHMvLnJlbHNQSwECLQAUAAYACAAAACEA&#10;1yJ0w4ICAABqBQAADgAAAAAAAAAAAAAAAAAuAgAAZHJzL2Uyb0RvYy54bWxQSwECLQAUAAYACAAA&#10;ACEAkxwZxeIAAAAJAQAADwAAAAAAAAAAAAAAAADcBAAAZHJzL2Rvd25yZXYueG1sUEsFBgAAAAAE&#10;AAQA8wAAAOsFAAAAAA==&#10;" filled="f" stroked="f" strokeweight=".5pt">
                <v:textbox>
                  <w:txbxContent>
                    <w:p w14:paraId="421E82AA" w14:textId="0E426190" w:rsidR="001C045B" w:rsidRPr="008E6EED" w:rsidRDefault="001C045B" w:rsidP="008E6EED">
                      <w:pPr>
                        <w:jc w:val="center"/>
                        <w:rPr>
                          <w:b/>
                        </w:rPr>
                      </w:pPr>
                      <w:r w:rsidRPr="008E6EED">
                        <w:rPr>
                          <w:b/>
                        </w:rPr>
                        <w:t>H1</w:t>
                      </w:r>
                    </w:p>
                  </w:txbxContent>
                </v:textbox>
              </v:shape>
            </w:pict>
          </mc:Fallback>
        </mc:AlternateContent>
      </w:r>
      <w:r>
        <w:rPr>
          <w:rFonts w:ascii="Palatino Linotype" w:hAnsi="Palatino Linotype"/>
          <w:noProof/>
          <w:lang w:val="es-PE"/>
        </w:rPr>
        <mc:AlternateContent>
          <mc:Choice Requires="wpg">
            <w:drawing>
              <wp:anchor distT="0" distB="0" distL="114300" distR="114300" simplePos="0" relativeHeight="251691008" behindDoc="0" locked="0" layoutInCell="1" allowOverlap="1" wp14:anchorId="22FA41AB" wp14:editId="75B5FAC9">
                <wp:simplePos x="0" y="0"/>
                <wp:positionH relativeFrom="column">
                  <wp:posOffset>660883</wp:posOffset>
                </wp:positionH>
                <wp:positionV relativeFrom="paragraph">
                  <wp:posOffset>109220</wp:posOffset>
                </wp:positionV>
                <wp:extent cx="4563745" cy="1192381"/>
                <wp:effectExtent l="0" t="0" r="27305" b="27305"/>
                <wp:wrapNone/>
                <wp:docPr id="18" name="18 Grupo"/>
                <wp:cNvGraphicFramePr/>
                <a:graphic xmlns:a="http://schemas.openxmlformats.org/drawingml/2006/main">
                  <a:graphicData uri="http://schemas.microsoft.com/office/word/2010/wordprocessingGroup">
                    <wpg:wgp>
                      <wpg:cNvGrpSpPr/>
                      <wpg:grpSpPr>
                        <a:xfrm>
                          <a:off x="0" y="0"/>
                          <a:ext cx="4563745" cy="1192381"/>
                          <a:chOff x="0" y="14631"/>
                          <a:chExt cx="4564354" cy="1192689"/>
                        </a:xfrm>
                      </wpg:grpSpPr>
                      <wps:wsp>
                        <wps:cNvPr id="3" name="3 Rectángulo redondeado"/>
                        <wps:cNvSpPr/>
                        <wps:spPr>
                          <a:xfrm>
                            <a:off x="0" y="14631"/>
                            <a:ext cx="1652905" cy="504673"/>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1D65E13" w14:textId="1F2849B8" w:rsidR="001C045B" w:rsidRPr="00204F83" w:rsidRDefault="001C045B" w:rsidP="008E6EED">
                              <w:pPr>
                                <w:spacing w:after="0" w:line="240" w:lineRule="auto"/>
                                <w:jc w:val="center"/>
                                <w:rPr>
                                  <w:color w:val="FF0000"/>
                                </w:rPr>
                              </w:pPr>
                              <w:r>
                                <w:rPr>
                                  <w:color w:val="FF0000"/>
                                </w:rPr>
                                <w:t>Conflicto social</w:t>
                              </w:r>
                            </w:p>
                            <w:p w14:paraId="77E3F37D" w14:textId="77777777" w:rsidR="001C045B" w:rsidRPr="00204F83" w:rsidRDefault="001C045B" w:rsidP="008E6EED">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6 Rectángulo redondeado"/>
                        <wps:cNvSpPr/>
                        <wps:spPr>
                          <a:xfrm>
                            <a:off x="2911449" y="43899"/>
                            <a:ext cx="1652905" cy="533723"/>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F00F486" w14:textId="77777777" w:rsidR="001C045B" w:rsidRPr="00204F83" w:rsidRDefault="001C045B" w:rsidP="008E6EED">
                              <w:pPr>
                                <w:spacing w:after="0" w:line="240" w:lineRule="auto"/>
                                <w:jc w:val="center"/>
                                <w:rPr>
                                  <w:color w:val="FF0000"/>
                                </w:rPr>
                              </w:pPr>
                              <w:r>
                                <w:rPr>
                                  <w:color w:val="FF0000"/>
                                </w:rPr>
                                <w:t>Precio de la acción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Rectángulo redondeado"/>
                        <wps:cNvSpPr/>
                        <wps:spPr>
                          <a:xfrm>
                            <a:off x="1455724" y="907085"/>
                            <a:ext cx="1652905" cy="30023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2B1AB18" w14:textId="77777777" w:rsidR="001C045B" w:rsidRPr="00204F83" w:rsidRDefault="001C045B" w:rsidP="008E6EED">
                              <w:pPr>
                                <w:jc w:val="center"/>
                                <w:rPr>
                                  <w:color w:val="FF0000"/>
                                </w:rPr>
                              </w:pPr>
                              <w:r>
                                <w:rPr>
                                  <w:color w:val="FF0000"/>
                                </w:rPr>
                                <w:t>Capital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11 Conector recto de flecha"/>
                        <wps:cNvCnPr/>
                        <wps:spPr>
                          <a:xfrm>
                            <a:off x="1653235" y="321869"/>
                            <a:ext cx="1258544"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12" name="12 Conector recto de flecha"/>
                        <wps:cNvCnPr/>
                        <wps:spPr>
                          <a:xfrm flipV="1">
                            <a:off x="2260396" y="321869"/>
                            <a:ext cx="7315" cy="585216"/>
                          </a:xfrm>
                          <a:prstGeom prst="straightConnector1">
                            <a:avLst/>
                          </a:prstGeom>
                          <a:ln w="12700">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2FA41AB" id="18 Grupo" o:spid="_x0000_s1027" style="position:absolute;left:0;text-align:left;margin-left:52.05pt;margin-top:8.6pt;width:359.35pt;height:93.9pt;z-index:251691008;mso-height-relative:margin" coordorigin=",146" coordsize="45643,1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ovUgQAAMYTAAAOAAAAZHJzL2Uyb0RvYy54bWzsWNtu2zgQfV9g/4HQ+8a62xLiFIHTBAsE&#10;bdB0t88MRVkCJJJL0pGzf9Nv2R/b4UWy6yZtkV52UdgPMq+j4Zkzwxmdvtj2HbqnUrWcLYPoJAwQ&#10;ZYRXLVsvgz/eXv62CJDSmFW444wugweqghdnv/5yOoiSxrzhXUUlAiFMlYNYBo3WopzNFGloj9UJ&#10;F5TBZM1ljzV05XpWSTyA9L6bxWGYzwYuKyE5oUrB6IWbDM6s/LqmRL+ua0U16pYB6KbtU9rnnXnO&#10;zk5xuZZYNC3xauBnaNHjlsFLJ1EXWGO0ke1HovqWSK54rU8I72e8rltC7RngNFF4cJoryTfCnmVd&#10;DmsxwQTQHuD0bLHk1f2NRG0FtgNLMdyDjaIFupIbwQ04g1iXsOZKiltxI/3A2vXMebe17M0/nARt&#10;LawPE6x0qxGBwTTLk3maBYjAXBQVcbKIHPCkAevs9kVpnkwzL3e70yRLd7vzRWF2z8aXz4yOk0qD&#10;ACKpHVbq67C6bbCg1gTK4OCxSkaoEvQGKPbPe7bedBxJWnFWUVx56OyWCTdVKoDwSdD2Dj8CF+VZ&#10;XIQeuCxM83nywclxKaTSV5T3yDSWAfCFVUYjy0V8f620Q2pcZ97O+GXbdTCOy46hAUwSz0PrCYDk&#10;qKRt6YeOumVvaA0kAVvGVrJ1T7rqJLrH4FiYEMp05KYaXFE3nIXw8wpPO6zhOgYCjeQaNJlkewHG&#10;9T+W7c7h15ut1Hr3tDn8lGJu87TDvpkzPW3uW8blYwI6OJV/s1sP6u9BY5p6e7d1DmRWmpE7Xj0A&#10;USR30UYJctmCea6x0jdYQniBQAQhU7+GR91xsAD3rQA1XP792LhZD0yG2QANEK6WgfprgyUNUPc7&#10;A44XUZqa+GY7aTaPoSP3Z+72Z9imX3EwXATBWRDbNOt1NzZryft3EFnPzVthCjMC714GRMuxs9Iu&#10;jEJsJvT83C6DmCawvma3ghjhBmfDvLfbd1gKz1EN7H7FR7/C5QFL3Vqzk/HzjeZ1aym8w9VbAHzc&#10;of3dnT0fnT3/Fs4eFxGYqggQxMI0WRQ2lgGbfbT70OWTZB4fXd6GiP+ly8dHl/8pXR7c06VCxbdw&#10;+SjNICBDBgMuX4TzcJEZ2jzh80kYxoldMCU4x2t+d1P/99e8jce76+h4zf8k13wEyZCvfyK0gmKV&#10;aA5JnPlDkNHWHSUNHuM9lAIr5uuhMWUe65GpGIK7PDG+bPw+iaNFfnjXx9kiS31lMybKY0E1Zuw+&#10;a1Ja4nbdaFDMaeayq4PkyZQCJrLs5/Wmr3HbvWQV0g8C6jssJR/MSSDCdGzMaG1tYnitHkn7vyA1&#10;fzyn/wJ//dE5vd5+Nqd3GbxByADy41LNKJ44GH8FB4GsrfhzzMB9aR7HeZgUkMw+wcZ5Eo2V5iKL&#10;o9wT5Lvw0ZD7AqvG1YkVtNyNeOTpXuX7PJ7aryHwsch6t/+wZb5G7fctr3ef387+BQAA//8DAFBL&#10;AwQUAAYACAAAACEAdhLGm98AAAAKAQAADwAAAGRycy9kb3ducmV2LnhtbEyPTUvDQBCG74L/YRnB&#10;m91NtFpiNqUU9VQEW6H0ts1Ok9DsbMhuk/TfO570Ni/z8H7ky8m1YsA+NJ40JDMFAqn0tqFKw/fu&#10;/WEBIkRD1rSeUMMVAyyL25vcZNaP9IXDNlaCTShkRkMdY5dJGcoanQkz3yHx7+R7ZyLLvpK2NyOb&#10;u1amSj1LZxrihNp0uK6xPG8vTsPHaMbVY/I2bM6n9fWwm3/uNwlqfX83rV5BRJziHwy/9bk6FNzp&#10;6C9kg2hZq6eEUT5eUhAMLNKUtxw1pGquQBa5/D+h+AEAAP//AwBQSwECLQAUAAYACAAAACEAtoM4&#10;kv4AAADhAQAAEwAAAAAAAAAAAAAAAAAAAAAAW0NvbnRlbnRfVHlwZXNdLnhtbFBLAQItABQABgAI&#10;AAAAIQA4/SH/1gAAAJQBAAALAAAAAAAAAAAAAAAAAC8BAABfcmVscy8ucmVsc1BLAQItABQABgAI&#10;AAAAIQDmOZovUgQAAMYTAAAOAAAAAAAAAAAAAAAAAC4CAABkcnMvZTJvRG9jLnhtbFBLAQItABQA&#10;BgAIAAAAIQB2Esab3wAAAAoBAAAPAAAAAAAAAAAAAAAAAKwGAABkcnMvZG93bnJldi54bWxQSwUG&#10;AAAAAAQABADzAAAAuAcAAAAA&#10;">
                <v:roundrect id="3 Rectángulo redondeado" o:spid="_x0000_s1028" style="position:absolute;top:146;width:16529;height:50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hmcIA&#10;AADaAAAADwAAAGRycy9kb3ducmV2LnhtbESP3WoCMRSE74W+QziF3kjN6oK0W6PIgtA78ecBTjdn&#10;f9rNyTaJ6+rTG0HwcpiZb5jFajCt6Mn5xrKC6SQBQVxY3XCl4HjYvH+A8AFZY2uZFFzIw2r5Mlpg&#10;pu2Zd9TvQyUihH2GCuoQukxKX9Rk0E9sRxy90jqDIUpXSe3wHOGmlbMkmUuDDceFGjvKayr+9iej&#10;oCr6NKc016Wb/WzLf9S/1/GnUm+vw/oLRKAhPMOP9rdWk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1mGZwgAAANoAAAAPAAAAAAAAAAAAAAAAAJgCAABkcnMvZG93&#10;bnJldi54bWxQSwUGAAAAAAQABAD1AAAAhwMAAAAA&#10;" filled="f" strokecolor="#243f60 [1604]" strokeweight="1pt">
                  <v:textbox>
                    <w:txbxContent>
                      <w:p w14:paraId="61D65E13" w14:textId="1F2849B8" w:rsidR="001C045B" w:rsidRPr="00204F83" w:rsidRDefault="001C045B" w:rsidP="008E6EED">
                        <w:pPr>
                          <w:spacing w:after="0" w:line="240" w:lineRule="auto"/>
                          <w:jc w:val="center"/>
                          <w:rPr>
                            <w:color w:val="FF0000"/>
                          </w:rPr>
                        </w:pPr>
                        <w:r>
                          <w:rPr>
                            <w:color w:val="FF0000"/>
                          </w:rPr>
                          <w:t>Conflicto social</w:t>
                        </w:r>
                      </w:p>
                      <w:p w14:paraId="77E3F37D" w14:textId="77777777" w:rsidR="001C045B" w:rsidRPr="00204F83" w:rsidRDefault="001C045B" w:rsidP="008E6EED">
                        <w:pPr>
                          <w:jc w:val="center"/>
                          <w:rPr>
                            <w:color w:val="FF0000"/>
                          </w:rPr>
                        </w:pPr>
                      </w:p>
                    </w:txbxContent>
                  </v:textbox>
                </v:roundrect>
                <v:roundrect id="6 Rectángulo redondeado" o:spid="_x0000_s1029" style="position:absolute;left:29114;top:438;width:16529;height:53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CAcIA&#10;AADaAAAADwAAAGRycy9kb3ducmV2LnhtbESP3WoCMRSE7wt9h3AK3hQ3q4K0q1HKQqF3ovYBTjdn&#10;f3Rzsk3iuvr0RhC8HGbmG2a5HkwrenK+saxgkqQgiAurG64U/O6/xx8gfEDW2FomBRfysF69viwx&#10;0/bMW+p3oRIRwj5DBXUIXSalL2oy6BPbEUevtM5giNJVUjs8R7hp5TRN59Jgw3Ghxo7ymorj7mQU&#10;VEU/y2mW69JN/zblP+rD9f1TqdHb8LUAEWgIz/Cj/aMVzOF+Jd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cIBwgAAANoAAAAPAAAAAAAAAAAAAAAAAJgCAABkcnMvZG93&#10;bnJldi54bWxQSwUGAAAAAAQABAD1AAAAhwMAAAAA&#10;" filled="f" strokecolor="#243f60 [1604]" strokeweight="1pt">
                  <v:textbox>
                    <w:txbxContent>
                      <w:p w14:paraId="7F00F486" w14:textId="77777777" w:rsidR="001C045B" w:rsidRPr="00204F83" w:rsidRDefault="001C045B" w:rsidP="008E6EED">
                        <w:pPr>
                          <w:spacing w:after="0" w:line="240" w:lineRule="auto"/>
                          <w:jc w:val="center"/>
                          <w:rPr>
                            <w:color w:val="FF0000"/>
                          </w:rPr>
                        </w:pPr>
                        <w:r>
                          <w:rPr>
                            <w:color w:val="FF0000"/>
                          </w:rPr>
                          <w:t>Precio de la acción</w:t>
                        </w:r>
                      </w:p>
                    </w:txbxContent>
                  </v:textbox>
                </v:roundrect>
                <v:roundrect id="9 Rectángulo redondeado" o:spid="_x0000_s1030" style="position:absolute;left:14557;top:9070;width:16529;height:3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Wc8IA&#10;AADaAAAADwAAAGRycy9kb3ducmV2LnhtbESP3WoCMRSE74W+QziF3kjNqiDuahRZKPSu+PMAp5uz&#10;P3Zzsk3SdevTG0HwcpiZb5j1djCt6Mn5xrKC6SQBQVxY3XCl4HT8eF+C8AFZY2uZFPyTh+3mZbTG&#10;TNsL76k/hEpECPsMFdQhdJmUvqjJoJ/Yjjh6pXUGQ5SuktrhJcJNK2dJspAGG44LNXaU11T8HP6M&#10;gqro5znNc1262fdX+Yv6fB2nSr29DrsViEBDeIYf7U+tIIX7lXg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lZzwgAAANoAAAAPAAAAAAAAAAAAAAAAAJgCAABkcnMvZG93&#10;bnJldi54bWxQSwUGAAAAAAQABAD1AAAAhwMAAAAA&#10;" filled="f" strokecolor="#243f60 [1604]" strokeweight="1pt">
                  <v:textbox>
                    <w:txbxContent>
                      <w:p w14:paraId="62B1AB18" w14:textId="77777777" w:rsidR="001C045B" w:rsidRPr="00204F83" w:rsidRDefault="001C045B" w:rsidP="008E6EED">
                        <w:pPr>
                          <w:jc w:val="center"/>
                          <w:rPr>
                            <w:color w:val="FF0000"/>
                          </w:rPr>
                        </w:pPr>
                        <w:r>
                          <w:rPr>
                            <w:color w:val="FF0000"/>
                          </w:rPr>
                          <w:t>Capital social</w:t>
                        </w:r>
                      </w:p>
                    </w:txbxContent>
                  </v:textbox>
                </v:roundrect>
                <v:shapetype id="_x0000_t32" coordsize="21600,21600" o:spt="32" o:oned="t" path="m,l21600,21600e" filled="f">
                  <v:path arrowok="t" fillok="f" o:connecttype="none"/>
                  <o:lock v:ext="edit" shapetype="t"/>
                </v:shapetype>
                <v:shape id="11 Conector recto de flecha" o:spid="_x0000_s1031" type="#_x0000_t32" style="position:absolute;left:16532;top:3218;width:125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QU6cQAAADbAAAADwAAAGRycy9kb3ducmV2LnhtbERPTWvCQBC9C/6HZYReSt3YWinRjYgQ&#10;6EFq1R56HLJjNiQ7G7JrjP313ULB2zze56zWg21ET52vHCuYTRMQxIXTFZcKvk750xsIH5A1No5J&#10;wY08rLPxaIWpdlc+UH8MpYgh7FNUYEJoUyl9Yciin7qWOHJn11kMEXal1B1eY7ht5HOSLKTFimOD&#10;wZa2hor6eLEKXs3jbvjc7/L5z6Fv3Uv98X3LL0o9TIbNEkSgIdzF/+53HefP4O+XeI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BTpxAAAANsAAAAPAAAAAAAAAAAA&#10;AAAAAKECAABkcnMvZG93bnJldi54bWxQSwUGAAAAAAQABAD5AAAAkgMAAAAA&#10;" strokecolor="#4579b8 [3044]" strokeweight="1pt">
                  <v:stroke endarrow="open"/>
                </v:shape>
                <v:shape id="12 Conector recto de flecha" o:spid="_x0000_s1032" type="#_x0000_t32" style="position:absolute;left:22603;top:3218;width:74;height:58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xBOMEAAADbAAAADwAAAGRycy9kb3ducmV2LnhtbERPS4vCMBC+C/sfwix403QLilRjWRZW&#10;hEXE18Hb0Ewf2kxKk7X13xtB8DYf33MWaW9qcaPWVZYVfI0jEMSZ1RUXCo6H39EMhPPIGmvLpOBO&#10;DtLlx2CBibYd7+i294UIIewSVFB63yRSuqwkg25sG+LA5bY16ANsC6lb7EK4qWUcRVNpsOLQUGJD&#10;PyVl1/2/UTDBXd7Vp7/uXBy2mV657aXf5EoNP/vvOQhPvX+LX+61DvNjeP4SD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rEE4wQAAANsAAAAPAAAAAAAAAAAAAAAA&#10;AKECAABkcnMvZG93bnJldi54bWxQSwUGAAAAAAQABAD5AAAAjwMAAAAA&#10;" strokecolor="#4579b8 [3044]" strokeweight="1pt">
                  <v:stroke dashstyle="dash" endarrow="open"/>
                </v:shape>
              </v:group>
            </w:pict>
          </mc:Fallback>
        </mc:AlternateContent>
      </w:r>
    </w:p>
    <w:p w14:paraId="2C4BDCCE" w14:textId="11CB0ACC" w:rsidR="008E6EED" w:rsidRDefault="008E6EED" w:rsidP="008E6EED">
      <w:pPr>
        <w:jc w:val="both"/>
        <w:rPr>
          <w:rFonts w:ascii="Palatino Linotype" w:hAnsi="Palatino Linotype"/>
        </w:rPr>
      </w:pPr>
      <w:r>
        <w:rPr>
          <w:rFonts w:ascii="Palatino Linotype" w:hAnsi="Palatino Linotype"/>
          <w:noProof/>
          <w:lang w:val="es-PE"/>
        </w:rPr>
        <mc:AlternateContent>
          <mc:Choice Requires="wps">
            <w:drawing>
              <wp:anchor distT="0" distB="0" distL="114300" distR="114300" simplePos="0" relativeHeight="251694080" behindDoc="0" locked="0" layoutInCell="1" allowOverlap="1" wp14:anchorId="47610BD2" wp14:editId="509D35DA">
                <wp:simplePos x="0" y="0"/>
                <wp:positionH relativeFrom="column">
                  <wp:posOffset>2836849</wp:posOffset>
                </wp:positionH>
                <wp:positionV relativeFrom="paragraph">
                  <wp:posOffset>271145</wp:posOffset>
                </wp:positionV>
                <wp:extent cx="445135" cy="23050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C93AA" w14:textId="0665AA35" w:rsidR="001C045B" w:rsidRPr="008E6EED" w:rsidRDefault="001C045B" w:rsidP="008E6EED">
                            <w:pPr>
                              <w:jc w:val="center"/>
                              <w:rPr>
                                <w:b/>
                              </w:rPr>
                            </w:pPr>
                            <w:r w:rsidRPr="008E6EED">
                              <w:rPr>
                                <w:b/>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0BD2" id="16 Cuadro de texto" o:spid="_x0000_s1033" type="#_x0000_t202" style="position:absolute;left:0;text-align:left;margin-left:223.35pt;margin-top:21.35pt;width:35.05pt;height:1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bBhQIAAHEFAAAOAAAAZHJzL2Uyb0RvYy54bWysVN9v2jAQfp+0/8Hy+5pAgW2ooWJUTJNQ&#10;W41OfTaOXaLZPs82JOyv79lJALG9dNpLcvZ99/l+39w2WpG9cL4CU9DBVU6JMBzKyrwU9MfT8sMn&#10;SnxgpmQKjCjoQXh6O3v/7qa2UzGELahSOIIkxk9rW9BtCHaaZZ5vhWb+CqwwqJTgNAt4dC9Z6ViN&#10;7FplwzyfZDW40jrgwnu8vWuVdJb4pRQ8PEjpRSCqoOhbSF+Xvpv4zWY3bPrimN1WvHOD/YMXmlUG&#10;Hz1S3bHAyM5Vf1DpijvwIMMVB52BlBUXKQaMZpBfRLPeMitSLJgcb49p8v+Plt/vHx2pSqzdhBLD&#10;NNZoMCGLHSsdkFKQIJoAMU219VNEry3iQ/MFGgT29x4vY/SNdDr+MS6Cekz44Zhk5CEcL0ej8eB6&#10;TAlH1fA6H+fjyJKdjK3z4asATaJQUIc1TKll+5UPLbSHxLcMLCulUh2VIXVBJ9fjPBkcNUiuTMSK&#10;1BEdTQyodTxJ4aBExCjzXUjMSPI/XqReFAvlyJ5hFzHOhQkp9MSL6IiS6MRbDDv8yau3GLdx9C+D&#10;CUdjXRlwKfoLt8ufvcuyxWPOz+KOYmg2TWqFUV/XDZQHLLeDdm685csKi7JiPjwyh4OCFcbhDw/4&#10;kQow+dBJlGzB/f7bfcRj/6KWkhoHr6D+1445QYn6ZrCzPw9Gozip6TAafxziwZ1rNucas9MLwKoM&#10;cM1YnsSID6oXpQP9jDtiHl9FFTMc3y5o6MVFaNcB7hgu5vMEwtm0LKzM2vJIHYsUW+6peWbOdn0Z&#10;B+Me+hFl04v2bLHR0sB8F0BWqXdjntusdvnHuU7d3+2guDjOzwl12pSzVwAAAP//AwBQSwMEFAAG&#10;AAgAAAAhAO4JXEbhAAAACQEAAA8AAABkcnMvZG93bnJldi54bWxMj0FPwkAQhe8m/ofNmHiTLQ0U&#10;LN0S0oSYGD2AXLxNu0Pb0N2t3QWqv97xhKeZyXt5871sPZpOXGjwrbMKppMIBNnK6dbWCg4f26cl&#10;CB/QauycJQXf5GGd399lmGp3tTu67EMtOMT6FBU0IfSplL5qyKCfuJ4sa0c3GAx8DrXUA1453HQy&#10;jqJEGmwtf2iwp6Kh6rQ/GwWvxfYdd2Vslj9d8fJ23PRfh8+5Uo8P42YFItAYbmb4w2d0yJmpdGer&#10;vegUzGbJgq28xDzZMJ8m3KVUsHiOQOaZ/N8g/wUAAP//AwBQSwECLQAUAAYACAAAACEAtoM4kv4A&#10;AADhAQAAEwAAAAAAAAAAAAAAAAAAAAAAW0NvbnRlbnRfVHlwZXNdLnhtbFBLAQItABQABgAIAAAA&#10;IQA4/SH/1gAAAJQBAAALAAAAAAAAAAAAAAAAAC8BAABfcmVscy8ucmVsc1BLAQItABQABgAIAAAA&#10;IQDiE9bBhQIAAHEFAAAOAAAAAAAAAAAAAAAAAC4CAABkcnMvZTJvRG9jLnhtbFBLAQItABQABgAI&#10;AAAAIQDuCVxG4QAAAAkBAAAPAAAAAAAAAAAAAAAAAN8EAABkcnMvZG93bnJldi54bWxQSwUGAAAA&#10;AAQABADzAAAA7QUAAAAA&#10;" filled="f" stroked="f" strokeweight=".5pt">
                <v:textbox>
                  <w:txbxContent>
                    <w:p w14:paraId="362C93AA" w14:textId="0665AA35" w:rsidR="001C045B" w:rsidRPr="008E6EED" w:rsidRDefault="001C045B" w:rsidP="008E6EED">
                      <w:pPr>
                        <w:jc w:val="center"/>
                        <w:rPr>
                          <w:b/>
                        </w:rPr>
                      </w:pPr>
                      <w:r w:rsidRPr="008E6EED">
                        <w:rPr>
                          <w:b/>
                        </w:rPr>
                        <w:t>H2</w:t>
                      </w:r>
                    </w:p>
                  </w:txbxContent>
                </v:textbox>
              </v:shape>
            </w:pict>
          </mc:Fallback>
        </mc:AlternateContent>
      </w:r>
    </w:p>
    <w:p w14:paraId="75628C3F" w14:textId="77777777" w:rsidR="008E6EED" w:rsidRDefault="008E6EED" w:rsidP="008E6EED">
      <w:pPr>
        <w:jc w:val="both"/>
        <w:rPr>
          <w:rFonts w:ascii="Palatino Linotype" w:hAnsi="Palatino Linotype"/>
        </w:rPr>
      </w:pPr>
    </w:p>
    <w:p w14:paraId="60AB3CAE" w14:textId="77777777" w:rsidR="008E6EED" w:rsidRDefault="008E6EED" w:rsidP="008E6EED">
      <w:pPr>
        <w:jc w:val="both"/>
        <w:rPr>
          <w:rFonts w:ascii="Palatino Linotype" w:hAnsi="Palatino Linotype"/>
        </w:rPr>
      </w:pPr>
    </w:p>
    <w:p w14:paraId="3D93F843" w14:textId="77777777" w:rsidR="008E6EED" w:rsidRDefault="008E6EED" w:rsidP="008E6EED">
      <w:pPr>
        <w:jc w:val="both"/>
        <w:rPr>
          <w:rFonts w:ascii="Palatino Linotype" w:hAnsi="Palatino Linotype"/>
        </w:rPr>
      </w:pPr>
    </w:p>
    <w:p w14:paraId="329A3AE3" w14:textId="748FAEE8" w:rsidR="00734BFB" w:rsidRPr="00734BFB" w:rsidRDefault="0056181E" w:rsidP="00734BFB">
      <w:pPr>
        <w:pStyle w:val="Ttulo1"/>
        <w:tabs>
          <w:tab w:val="left" w:pos="426"/>
        </w:tabs>
      </w:pPr>
      <w:r w:rsidRPr="00734BFB">
        <w:t>METODOLOGÍA DE LA INVESTIGACIÓN</w:t>
      </w:r>
    </w:p>
    <w:p w14:paraId="4F194534" w14:textId="29C0AA19" w:rsidR="00734BFB" w:rsidRDefault="005F13DD" w:rsidP="00734BFB">
      <w:pPr>
        <w:jc w:val="both"/>
        <w:rPr>
          <w:rFonts w:ascii="Palatino Linotype" w:hAnsi="Palatino Linotype"/>
        </w:rPr>
      </w:pPr>
      <w:r>
        <w:rPr>
          <w:rFonts w:ascii="Palatino Linotype" w:hAnsi="Palatino Linotype"/>
        </w:rPr>
        <w:t>En esta parte se explicitará</w:t>
      </w:r>
      <w:r w:rsidR="00734BFB" w:rsidRPr="00734BFB">
        <w:rPr>
          <w:rFonts w:ascii="Palatino Linotype" w:hAnsi="Palatino Linotype"/>
        </w:rPr>
        <w:t xml:space="preserve"> el procedimiento que se h</w:t>
      </w:r>
      <w:r w:rsidR="00734BFB">
        <w:rPr>
          <w:rFonts w:ascii="Palatino Linotype" w:hAnsi="Palatino Linotype"/>
        </w:rPr>
        <w:t>a seguido para la validación del</w:t>
      </w:r>
      <w:r w:rsidR="00734BFB" w:rsidRPr="00734BFB">
        <w:rPr>
          <w:rFonts w:ascii="Palatino Linotype" w:hAnsi="Palatino Linotype"/>
        </w:rPr>
        <w:t xml:space="preserve"> modelo y para contrastar las hipótesis derivadas </w:t>
      </w:r>
      <w:r w:rsidR="00734BFB">
        <w:rPr>
          <w:rFonts w:ascii="Palatino Linotype" w:hAnsi="Palatino Linotype"/>
        </w:rPr>
        <w:t xml:space="preserve">del </w:t>
      </w:r>
      <w:r w:rsidR="00734BFB" w:rsidRPr="00734BFB">
        <w:rPr>
          <w:rFonts w:ascii="Palatino Linotype" w:hAnsi="Palatino Linotype"/>
        </w:rPr>
        <w:t>marco teórico.</w:t>
      </w:r>
    </w:p>
    <w:p w14:paraId="1780C34B" w14:textId="645909B5" w:rsidR="00734BFB" w:rsidRPr="00734BFB" w:rsidRDefault="005F13DD" w:rsidP="005F13DD">
      <w:pPr>
        <w:pStyle w:val="Ttulo2"/>
        <w:numPr>
          <w:ilvl w:val="0"/>
          <w:numId w:val="0"/>
        </w:numPr>
        <w:tabs>
          <w:tab w:val="left" w:pos="284"/>
        </w:tabs>
        <w:rPr>
          <w:rFonts w:ascii="Palatino Linotype" w:hAnsi="Palatino Linotype"/>
          <w:sz w:val="24"/>
          <w:szCs w:val="24"/>
        </w:rPr>
      </w:pPr>
      <w:r>
        <w:rPr>
          <w:rFonts w:ascii="Palatino Linotype" w:hAnsi="Palatino Linotype"/>
          <w:sz w:val="24"/>
          <w:szCs w:val="24"/>
        </w:rPr>
        <w:t xml:space="preserve">IV.1- </w:t>
      </w:r>
      <w:r w:rsidR="00734BFB" w:rsidRPr="00734BFB">
        <w:rPr>
          <w:rFonts w:ascii="Palatino Linotype" w:hAnsi="Palatino Linotype"/>
          <w:sz w:val="24"/>
          <w:szCs w:val="24"/>
        </w:rPr>
        <w:t>Descripción de la muestra</w:t>
      </w:r>
    </w:p>
    <w:p w14:paraId="41D0E133" w14:textId="77777777" w:rsidR="00734BFB" w:rsidRPr="00936E2B" w:rsidRDefault="00734BFB" w:rsidP="00734BFB">
      <w:pPr>
        <w:jc w:val="both"/>
        <w:rPr>
          <w:rFonts w:ascii="Palatino Linotype" w:hAnsi="Palatino Linotype"/>
        </w:rPr>
      </w:pPr>
      <w:r w:rsidRPr="00936E2B">
        <w:rPr>
          <w:rFonts w:ascii="Palatino Linotype" w:hAnsi="Palatino Linotype"/>
        </w:rPr>
        <w:t xml:space="preserve">La población de estudio está referida a las 44 empresas mineras que están registradas en la Bolsa de Valores de Lima (BVL). Para nuestra muestra, de esas empresas se han seleccionado 21,  porque son las que concentran 132 conflictos con diferentes periodos de duración. </w:t>
      </w:r>
    </w:p>
    <w:p w14:paraId="055C29E9" w14:textId="77777777" w:rsidR="00734BFB" w:rsidRDefault="00734BFB" w:rsidP="00734BFB">
      <w:pPr>
        <w:tabs>
          <w:tab w:val="left" w:pos="426"/>
        </w:tabs>
        <w:jc w:val="both"/>
        <w:rPr>
          <w:rFonts w:ascii="Palatino Linotype" w:hAnsi="Palatino Linotype"/>
        </w:rPr>
      </w:pPr>
      <w:r w:rsidRPr="00936E2B">
        <w:rPr>
          <w:rFonts w:ascii="Palatino Linotype" w:hAnsi="Palatino Linotype"/>
        </w:rPr>
        <w:lastRenderedPageBreak/>
        <w:t>Por tanto, se construyeron dos bases de datos</w:t>
      </w:r>
      <w:r w:rsidRPr="00B310F5">
        <w:rPr>
          <w:rFonts w:ascii="Palatino Linotype" w:hAnsi="Palatino Linotype"/>
          <w:color w:val="FF0000"/>
        </w:rPr>
        <w:t xml:space="preserve"> </w:t>
      </w:r>
      <w:r>
        <w:rPr>
          <w:rFonts w:ascii="Palatino Linotype" w:hAnsi="Palatino Linotype"/>
        </w:rPr>
        <w:t>p</w:t>
      </w:r>
      <w:r w:rsidRPr="00E938C7">
        <w:rPr>
          <w:rFonts w:ascii="Palatino Linotype" w:hAnsi="Palatino Linotype"/>
        </w:rPr>
        <w:t>ara estudiar la relación entre conflicto social, acotado a las empresas miner</w:t>
      </w:r>
      <w:r>
        <w:rPr>
          <w:rFonts w:ascii="Palatino Linotype" w:hAnsi="Palatino Linotype"/>
        </w:rPr>
        <w:t xml:space="preserve">as, y el precio de las acciones. La primera tiene dos fuentes de información. La primera es la BVL, de donde se han registrado a las empresas mineras que registran conflictos sociales en el Perú. La segunda fuente es la </w:t>
      </w:r>
      <w:r w:rsidRPr="00E938C7">
        <w:rPr>
          <w:rFonts w:ascii="Palatino Linotype" w:hAnsi="Palatino Linotype"/>
        </w:rPr>
        <w:t>Defensoría del Pueblo (DdP)</w:t>
      </w:r>
      <w:r>
        <w:rPr>
          <w:rFonts w:ascii="Palatino Linotype" w:hAnsi="Palatino Linotype"/>
        </w:rPr>
        <w:t>, de donde se han registrado los conflictos mensuales registrados durante enero 2008 y noviembre 2013.</w:t>
      </w:r>
    </w:p>
    <w:p w14:paraId="3BC094F4" w14:textId="77777777" w:rsidR="00734BFB" w:rsidRPr="00DD1FAC" w:rsidRDefault="00734BFB" w:rsidP="00734BFB">
      <w:pPr>
        <w:tabs>
          <w:tab w:val="left" w:pos="426"/>
        </w:tabs>
        <w:jc w:val="both"/>
        <w:rPr>
          <w:rFonts w:ascii="Palatino Linotype" w:hAnsi="Palatino Linotype"/>
        </w:rPr>
      </w:pPr>
      <w:r w:rsidRPr="00E938C7">
        <w:rPr>
          <w:rFonts w:ascii="Palatino Linotype" w:hAnsi="Palatino Linotype"/>
        </w:rPr>
        <w:t xml:space="preserve">La segunda </w:t>
      </w:r>
      <w:r>
        <w:rPr>
          <w:rFonts w:ascii="Palatino Linotype" w:hAnsi="Palatino Linotype"/>
        </w:rPr>
        <w:t xml:space="preserve">base de datos también se basa en la BVL, de donde se obtienen </w:t>
      </w:r>
      <w:r w:rsidRPr="00E938C7">
        <w:rPr>
          <w:rFonts w:ascii="Palatino Linotype" w:hAnsi="Palatino Linotype"/>
        </w:rPr>
        <w:t>los precios históricos de las acciones de las empresas mineras</w:t>
      </w:r>
      <w:r>
        <w:rPr>
          <w:rFonts w:ascii="Palatino Linotype" w:hAnsi="Palatino Linotype"/>
        </w:rPr>
        <w:t>, que constituyen nuestra muestra.</w:t>
      </w:r>
      <w:r w:rsidRPr="00E938C7">
        <w:rPr>
          <w:rFonts w:ascii="Palatino Linotype" w:hAnsi="Palatino Linotype"/>
        </w:rPr>
        <w:t xml:space="preserve"> </w:t>
      </w:r>
    </w:p>
    <w:p w14:paraId="7D579932" w14:textId="77777777" w:rsidR="00AF16C8" w:rsidRDefault="00AF16C8" w:rsidP="005F13DD">
      <w:pPr>
        <w:pStyle w:val="Ttulo2"/>
        <w:numPr>
          <w:ilvl w:val="0"/>
          <w:numId w:val="0"/>
        </w:numPr>
        <w:tabs>
          <w:tab w:val="left" w:pos="284"/>
        </w:tabs>
        <w:rPr>
          <w:rFonts w:ascii="Palatino Linotype" w:hAnsi="Palatino Linotype"/>
          <w:sz w:val="24"/>
          <w:szCs w:val="24"/>
        </w:rPr>
      </w:pPr>
    </w:p>
    <w:p w14:paraId="17A5664D" w14:textId="260DD3B8" w:rsidR="00734BFB" w:rsidRDefault="005F13DD" w:rsidP="005F13DD">
      <w:pPr>
        <w:pStyle w:val="Ttulo2"/>
        <w:numPr>
          <w:ilvl w:val="0"/>
          <w:numId w:val="0"/>
        </w:numPr>
        <w:tabs>
          <w:tab w:val="left" w:pos="284"/>
        </w:tabs>
        <w:rPr>
          <w:rFonts w:ascii="Palatino Linotype" w:hAnsi="Palatino Linotype"/>
          <w:sz w:val="24"/>
          <w:szCs w:val="24"/>
        </w:rPr>
      </w:pPr>
      <w:r>
        <w:rPr>
          <w:rFonts w:ascii="Palatino Linotype" w:hAnsi="Palatino Linotype"/>
          <w:sz w:val="24"/>
          <w:szCs w:val="24"/>
        </w:rPr>
        <w:t>IV.2-</w:t>
      </w:r>
      <w:r w:rsidR="00734BFB" w:rsidRPr="00734BFB">
        <w:rPr>
          <w:rFonts w:ascii="Palatino Linotype" w:hAnsi="Palatino Linotype"/>
          <w:sz w:val="24"/>
          <w:szCs w:val="24"/>
        </w:rPr>
        <w:t>Descripción y operacionalización de las variables</w:t>
      </w:r>
    </w:p>
    <w:p w14:paraId="7BE8E9C6" w14:textId="77777777" w:rsidR="00735C66" w:rsidRDefault="00735C66" w:rsidP="005F13DD">
      <w:pPr>
        <w:rPr>
          <w:rFonts w:ascii="Palatino Linotype" w:hAnsi="Palatino Linotype"/>
          <w:sz w:val="24"/>
          <w:szCs w:val="24"/>
        </w:rPr>
      </w:pPr>
    </w:p>
    <w:p w14:paraId="41FF30E8" w14:textId="58F7336C" w:rsidR="005F13DD" w:rsidRPr="00680587" w:rsidRDefault="005F13DD" w:rsidP="005F13DD">
      <w:pPr>
        <w:rPr>
          <w:rFonts w:ascii="Palatino Linotype" w:hAnsi="Palatino Linotype"/>
          <w:b/>
        </w:rPr>
      </w:pPr>
      <w:r w:rsidRPr="00680587">
        <w:rPr>
          <w:rFonts w:ascii="Palatino Linotype" w:hAnsi="Palatino Linotype"/>
          <w:sz w:val="24"/>
          <w:szCs w:val="24"/>
        </w:rPr>
        <w:t>IV.2.1</w:t>
      </w:r>
      <w:r w:rsidRPr="00680587">
        <w:rPr>
          <w:rFonts w:ascii="Palatino Linotype" w:hAnsi="Palatino Linotype"/>
          <w:b/>
        </w:rPr>
        <w:t>-</w:t>
      </w:r>
      <w:r w:rsidR="00AF16C8">
        <w:rPr>
          <w:rFonts w:ascii="Palatino Linotype" w:hAnsi="Palatino Linotype"/>
          <w:b/>
        </w:rPr>
        <w:t xml:space="preserve">El </w:t>
      </w:r>
      <w:r w:rsidRPr="00680587">
        <w:rPr>
          <w:rFonts w:ascii="Palatino Linotype" w:hAnsi="Palatino Linotype"/>
          <w:b/>
        </w:rPr>
        <w:t>C</w:t>
      </w:r>
      <w:r w:rsidR="00680587" w:rsidRPr="00680587">
        <w:rPr>
          <w:rFonts w:ascii="Palatino Linotype" w:hAnsi="Palatino Linotype"/>
          <w:b/>
        </w:rPr>
        <w:t>onflicto</w:t>
      </w:r>
      <w:r w:rsidR="00AF16C8">
        <w:rPr>
          <w:rFonts w:ascii="Palatino Linotype" w:hAnsi="Palatino Linotype"/>
          <w:b/>
        </w:rPr>
        <w:t xml:space="preserve"> Social</w:t>
      </w:r>
    </w:p>
    <w:p w14:paraId="02C62E84" w14:textId="5A3F5E8C" w:rsidR="00680587" w:rsidRPr="001C12AB" w:rsidRDefault="001C12AB" w:rsidP="001C12AB">
      <w:pPr>
        <w:jc w:val="both"/>
        <w:rPr>
          <w:rFonts w:ascii="Palatino Linotype" w:hAnsi="Palatino Linotype"/>
        </w:rPr>
      </w:pPr>
      <w:r w:rsidRPr="001C12AB">
        <w:rPr>
          <w:rFonts w:ascii="Palatino Linotype" w:hAnsi="Palatino Linotype"/>
        </w:rPr>
        <w:t>El conflicto social debe ser entendido como un proceso</w:t>
      </w:r>
      <w:r>
        <w:rPr>
          <w:rFonts w:ascii="Palatino Linotype" w:hAnsi="Palatino Linotype"/>
        </w:rPr>
        <w:t xml:space="preserve"> </w:t>
      </w:r>
      <w:r w:rsidRPr="001C12AB">
        <w:rPr>
          <w:rFonts w:ascii="Palatino Linotype" w:hAnsi="Palatino Linotype"/>
        </w:rPr>
        <w:t xml:space="preserve">complejo en el cual sectores </w:t>
      </w:r>
      <w:r>
        <w:rPr>
          <w:rFonts w:ascii="Palatino Linotype" w:hAnsi="Palatino Linotype"/>
        </w:rPr>
        <w:t xml:space="preserve">de la sociedad, el Estado y las </w:t>
      </w:r>
      <w:r w:rsidRPr="001C12AB">
        <w:rPr>
          <w:rFonts w:ascii="Palatino Linotype" w:hAnsi="Palatino Linotype"/>
        </w:rPr>
        <w:t xml:space="preserve">empresas perciben que sus </w:t>
      </w:r>
      <w:r>
        <w:rPr>
          <w:rFonts w:ascii="Palatino Linotype" w:hAnsi="Palatino Linotype"/>
        </w:rPr>
        <w:t xml:space="preserve">objetivos, intereses, valores o </w:t>
      </w:r>
      <w:r w:rsidRPr="001C12AB">
        <w:rPr>
          <w:rFonts w:ascii="Palatino Linotype" w:hAnsi="Palatino Linotype"/>
        </w:rPr>
        <w:t>necesidades son contradict</w:t>
      </w:r>
      <w:r>
        <w:rPr>
          <w:rFonts w:ascii="Palatino Linotype" w:hAnsi="Palatino Linotype"/>
        </w:rPr>
        <w:t xml:space="preserve">orios y esa contradicción puede </w:t>
      </w:r>
      <w:r w:rsidRPr="001C12AB">
        <w:rPr>
          <w:rFonts w:ascii="Palatino Linotype" w:hAnsi="Palatino Linotype"/>
        </w:rPr>
        <w:t>derivar en violencia.</w:t>
      </w:r>
      <w:r>
        <w:rPr>
          <w:rFonts w:ascii="Palatino Linotype" w:hAnsi="Palatino Linotype"/>
        </w:rPr>
        <w:t xml:space="preserve"> En esta investigación consideraremos que una empresa tiene conflicto social si en los informes mensuales de la Defensoría del Pueblo es catalogada como tal (“con conflicto social”).</w:t>
      </w:r>
    </w:p>
    <w:p w14:paraId="7C5AF0C9" w14:textId="3B263DBF" w:rsidR="00AF16C8" w:rsidRPr="005F13DD" w:rsidRDefault="00AF16C8" w:rsidP="00AF16C8">
      <w:pPr>
        <w:jc w:val="both"/>
        <w:rPr>
          <w:rFonts w:ascii="Palatino Linotype" w:hAnsi="Palatino Linotype"/>
          <w:i/>
        </w:rPr>
      </w:pPr>
      <w:r w:rsidRPr="005F13DD">
        <w:rPr>
          <w:rFonts w:ascii="Palatino Linotype" w:hAnsi="Palatino Linotype"/>
          <w:i/>
          <w:sz w:val="24"/>
          <w:szCs w:val="24"/>
        </w:rPr>
        <w:t>IV.2.1</w:t>
      </w:r>
      <w:r>
        <w:rPr>
          <w:rFonts w:ascii="Palatino Linotype" w:hAnsi="Palatino Linotype"/>
          <w:i/>
          <w:sz w:val="24"/>
          <w:szCs w:val="24"/>
        </w:rPr>
        <w:t>.1</w:t>
      </w:r>
      <w:r w:rsidRPr="005F13DD">
        <w:rPr>
          <w:rFonts w:ascii="Palatino Linotype" w:hAnsi="Palatino Linotype"/>
          <w:i/>
          <w:sz w:val="24"/>
          <w:szCs w:val="24"/>
        </w:rPr>
        <w:t xml:space="preserve">- </w:t>
      </w:r>
      <w:r>
        <w:rPr>
          <w:rFonts w:ascii="Palatino Linotype" w:hAnsi="Palatino Linotype"/>
          <w:i/>
          <w:sz w:val="24"/>
          <w:szCs w:val="24"/>
        </w:rPr>
        <w:t>Operacionali</w:t>
      </w:r>
      <w:r w:rsidR="007A4D76">
        <w:rPr>
          <w:rFonts w:ascii="Palatino Linotype" w:hAnsi="Palatino Linotype"/>
          <w:i/>
          <w:sz w:val="24"/>
          <w:szCs w:val="24"/>
        </w:rPr>
        <w:t>zaci</w:t>
      </w:r>
      <w:r w:rsidR="007A4D76" w:rsidRPr="007A4D76">
        <w:rPr>
          <w:rFonts w:ascii="Palatino Linotype" w:hAnsi="Palatino Linotype"/>
          <w:i/>
          <w:sz w:val="24"/>
          <w:szCs w:val="24"/>
        </w:rPr>
        <w:t>ó</w:t>
      </w:r>
      <w:r>
        <w:rPr>
          <w:rFonts w:ascii="Palatino Linotype" w:hAnsi="Palatino Linotype"/>
          <w:i/>
          <w:sz w:val="24"/>
          <w:szCs w:val="24"/>
        </w:rPr>
        <w:t xml:space="preserve">n de </w:t>
      </w:r>
      <w:r w:rsidRPr="005F13DD">
        <w:rPr>
          <w:rFonts w:ascii="Palatino Linotype" w:hAnsi="Palatino Linotype"/>
          <w:i/>
        </w:rPr>
        <w:t>Conflicto Social</w:t>
      </w:r>
    </w:p>
    <w:p w14:paraId="47D45477" w14:textId="48B1E3FE" w:rsidR="00AF16C8" w:rsidRDefault="00AF16C8" w:rsidP="00AF16C8">
      <w:pPr>
        <w:jc w:val="both"/>
        <w:rPr>
          <w:rFonts w:ascii="Palatino Linotype" w:hAnsi="Palatino Linotype"/>
        </w:rPr>
      </w:pPr>
      <w:r>
        <w:rPr>
          <w:rFonts w:ascii="Palatino Linotype" w:hAnsi="Palatino Linotype"/>
        </w:rPr>
        <w:t xml:space="preserve">Las variables que caracterizan o describe el conflicto social son: el tipo de conflicto activo, el motivo del </w:t>
      </w:r>
      <w:r w:rsidRPr="00145800">
        <w:rPr>
          <w:rFonts w:ascii="Palatino Linotype" w:hAnsi="Palatino Linotype"/>
        </w:rPr>
        <w:t>conflicto, las acciones tomadas de las empresas, fases del conflicto. Estas variables se han obtenido de los reportes mensuales emitidos por la Defensoría del Pueblo (Perú). Además de lo anterior, se ha considerado cuatro variables adicionales: La primera es la intensidad del conflicto (Henisz et. al., 2011, 201</w:t>
      </w:r>
      <w:r w:rsidR="00641F53">
        <w:rPr>
          <w:rFonts w:ascii="Palatino Linotype" w:hAnsi="Palatino Linotype"/>
        </w:rPr>
        <w:t>4</w:t>
      </w:r>
      <w:r w:rsidRPr="00145800">
        <w:rPr>
          <w:rFonts w:ascii="Palatino Linotype" w:hAnsi="Palatino Linotype"/>
        </w:rPr>
        <w:t>), la cual está medido</w:t>
      </w:r>
      <w:r>
        <w:rPr>
          <w:rFonts w:ascii="Palatino Linotype" w:hAnsi="Palatino Linotype"/>
        </w:rPr>
        <w:t xml:space="preserve"> por veinte valores (valor 1 refleja conflicto extremo y el valor 20 refleja aceptación total). </w:t>
      </w:r>
    </w:p>
    <w:p w14:paraId="37B94667" w14:textId="77777777" w:rsidR="00AF16C8" w:rsidRDefault="00AF16C8" w:rsidP="00AF16C8">
      <w:pPr>
        <w:pStyle w:val="Prrafodelista"/>
        <w:spacing w:after="0" w:line="240" w:lineRule="auto"/>
        <w:ind w:left="0"/>
        <w:jc w:val="center"/>
        <w:rPr>
          <w:rFonts w:ascii="Palatino Linotype" w:hAnsi="Palatino Linotype"/>
          <w:b/>
        </w:rPr>
      </w:pPr>
      <w:r w:rsidRPr="00145800">
        <w:rPr>
          <w:rFonts w:ascii="Palatino Linotype" w:hAnsi="Palatino Linotype"/>
          <w:b/>
        </w:rPr>
        <w:t xml:space="preserve">Tabla 3. </w:t>
      </w:r>
      <w:r w:rsidRPr="00145800">
        <w:rPr>
          <w:rFonts w:ascii="Palatino Linotype" w:hAnsi="Palatino Linotype"/>
        </w:rPr>
        <w:t>Operacionalización de las variables de conflicto social</w:t>
      </w:r>
    </w:p>
    <w:p w14:paraId="59CEA9D8" w14:textId="77777777" w:rsidR="00AF16C8" w:rsidRPr="009C3084" w:rsidRDefault="00AF16C8" w:rsidP="00AF16C8">
      <w:pPr>
        <w:pStyle w:val="Prrafodelista"/>
        <w:spacing w:after="0" w:line="240" w:lineRule="auto"/>
        <w:ind w:left="0"/>
        <w:jc w:val="center"/>
        <w:rPr>
          <w:rFonts w:ascii="Palatino Linotype" w:hAnsi="Palatino Linotype"/>
          <w:b/>
        </w:rPr>
      </w:pPr>
    </w:p>
    <w:tbl>
      <w:tblPr>
        <w:tblStyle w:val="Sombreadoclaro-nfasis1"/>
        <w:tblW w:w="0" w:type="auto"/>
        <w:tblLook w:val="04A0" w:firstRow="1" w:lastRow="0" w:firstColumn="1" w:lastColumn="0" w:noHBand="0" w:noVBand="1"/>
      </w:tblPr>
      <w:tblGrid>
        <w:gridCol w:w="2558"/>
        <w:gridCol w:w="3387"/>
        <w:gridCol w:w="2775"/>
      </w:tblGrid>
      <w:tr w:rsidR="00AF16C8" w:rsidRPr="009C3084" w14:paraId="349CE288" w14:textId="77777777" w:rsidTr="007A4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8" w:type="dxa"/>
          </w:tcPr>
          <w:p w14:paraId="6856A7CC" w14:textId="77777777" w:rsidR="00AF16C8" w:rsidRPr="009C3084" w:rsidRDefault="00AF16C8" w:rsidP="007A4D76">
            <w:pPr>
              <w:jc w:val="center"/>
              <w:rPr>
                <w:rFonts w:ascii="Palatino Linotype" w:hAnsi="Palatino Linotype"/>
                <w:sz w:val="18"/>
                <w:szCs w:val="18"/>
              </w:rPr>
            </w:pPr>
            <w:r w:rsidRPr="009C3084">
              <w:rPr>
                <w:rFonts w:ascii="Palatino Linotype" w:hAnsi="Palatino Linotype"/>
                <w:sz w:val="18"/>
                <w:szCs w:val="18"/>
              </w:rPr>
              <w:t>Variable</w:t>
            </w:r>
          </w:p>
        </w:tc>
        <w:tc>
          <w:tcPr>
            <w:tcW w:w="3387" w:type="dxa"/>
          </w:tcPr>
          <w:p w14:paraId="5F701F44" w14:textId="77777777" w:rsidR="00AF16C8" w:rsidRPr="009C3084" w:rsidRDefault="00AF16C8" w:rsidP="007A4D7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18"/>
                <w:szCs w:val="18"/>
              </w:rPr>
            </w:pPr>
            <w:r w:rsidRPr="009C3084">
              <w:rPr>
                <w:rFonts w:ascii="Palatino Linotype" w:hAnsi="Palatino Linotype"/>
                <w:sz w:val="18"/>
                <w:szCs w:val="18"/>
              </w:rPr>
              <w:t>Operacionalización</w:t>
            </w:r>
          </w:p>
        </w:tc>
        <w:tc>
          <w:tcPr>
            <w:tcW w:w="2775" w:type="dxa"/>
          </w:tcPr>
          <w:p w14:paraId="6B6C4B97" w14:textId="77777777" w:rsidR="00AF16C8" w:rsidRPr="009C3084" w:rsidRDefault="00AF16C8" w:rsidP="007A4D7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18"/>
                <w:szCs w:val="18"/>
              </w:rPr>
            </w:pPr>
            <w:r w:rsidRPr="009C3084">
              <w:rPr>
                <w:rFonts w:ascii="Palatino Linotype" w:hAnsi="Palatino Linotype"/>
                <w:sz w:val="18"/>
                <w:szCs w:val="18"/>
              </w:rPr>
              <w:t>Autor</w:t>
            </w:r>
          </w:p>
        </w:tc>
      </w:tr>
      <w:tr w:rsidR="00AF16C8" w:rsidRPr="00A96519" w14:paraId="7EA91E1F" w14:textId="77777777" w:rsidTr="007A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8" w:type="dxa"/>
          </w:tcPr>
          <w:p w14:paraId="01AB4CDC"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t>Tipo de conflicto Activo (8 valores)</w:t>
            </w:r>
          </w:p>
        </w:tc>
        <w:tc>
          <w:tcPr>
            <w:tcW w:w="3387" w:type="dxa"/>
          </w:tcPr>
          <w:p w14:paraId="23B0320C" w14:textId="77777777" w:rsidR="00AF16C8" w:rsidRPr="00A96519"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96519">
              <w:rPr>
                <w:rFonts w:ascii="Palatino Linotype" w:hAnsi="Palatino Linotype"/>
                <w:sz w:val="18"/>
                <w:szCs w:val="18"/>
              </w:rPr>
              <w:t xml:space="preserve">Se construyó una dummy (0, 1) para cada nivel. </w:t>
            </w:r>
          </w:p>
        </w:tc>
        <w:tc>
          <w:tcPr>
            <w:tcW w:w="2775" w:type="dxa"/>
          </w:tcPr>
          <w:p w14:paraId="397CAA96" w14:textId="77777777" w:rsidR="00AF16C8" w:rsidRPr="00A96519"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Fuente: Defensoría del Pueblo</w:t>
            </w:r>
          </w:p>
        </w:tc>
      </w:tr>
      <w:tr w:rsidR="00AF16C8" w:rsidRPr="00A96519" w14:paraId="2ED33B78" w14:textId="77777777" w:rsidTr="007A4D76">
        <w:tc>
          <w:tcPr>
            <w:cnfStyle w:val="001000000000" w:firstRow="0" w:lastRow="0" w:firstColumn="1" w:lastColumn="0" w:oddVBand="0" w:evenVBand="0" w:oddHBand="0" w:evenHBand="0" w:firstRowFirstColumn="0" w:firstRowLastColumn="0" w:lastRowFirstColumn="0" w:lastRowLastColumn="0"/>
            <w:tcW w:w="2558" w:type="dxa"/>
          </w:tcPr>
          <w:p w14:paraId="38F57F1A"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t>Motivo del conflicto (7 valores)</w:t>
            </w:r>
          </w:p>
        </w:tc>
        <w:tc>
          <w:tcPr>
            <w:tcW w:w="3387" w:type="dxa"/>
          </w:tcPr>
          <w:p w14:paraId="3D19DB3E" w14:textId="77777777" w:rsidR="00AF16C8" w:rsidRPr="00A96519"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96519">
              <w:rPr>
                <w:rFonts w:ascii="Palatino Linotype" w:hAnsi="Palatino Linotype"/>
                <w:sz w:val="18"/>
                <w:szCs w:val="18"/>
              </w:rPr>
              <w:t>Se construyó una dummy (0, 1) para cada nivel.</w:t>
            </w:r>
          </w:p>
        </w:tc>
        <w:tc>
          <w:tcPr>
            <w:tcW w:w="2775" w:type="dxa"/>
          </w:tcPr>
          <w:p w14:paraId="23FCA85A" w14:textId="77777777" w:rsidR="00AF16C8" w:rsidRPr="00A96519"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Fuente: Defensoría del Pueblo</w:t>
            </w:r>
          </w:p>
        </w:tc>
      </w:tr>
      <w:tr w:rsidR="00AF16C8" w:rsidRPr="00A96519" w14:paraId="3586C2BA" w14:textId="77777777" w:rsidTr="007A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8" w:type="dxa"/>
          </w:tcPr>
          <w:p w14:paraId="789D3BF6"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t>Id. Acciones tomadas (9 valores)</w:t>
            </w:r>
          </w:p>
        </w:tc>
        <w:tc>
          <w:tcPr>
            <w:tcW w:w="3387" w:type="dxa"/>
          </w:tcPr>
          <w:p w14:paraId="4312569C" w14:textId="77777777" w:rsidR="00AF16C8" w:rsidRPr="00A96519"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96519">
              <w:rPr>
                <w:rFonts w:ascii="Palatino Linotype" w:hAnsi="Palatino Linotype"/>
                <w:sz w:val="18"/>
                <w:szCs w:val="18"/>
              </w:rPr>
              <w:t>Se construyó una dummy (0, 1) para cada nivel.</w:t>
            </w:r>
          </w:p>
        </w:tc>
        <w:tc>
          <w:tcPr>
            <w:tcW w:w="2775" w:type="dxa"/>
          </w:tcPr>
          <w:p w14:paraId="31917D75" w14:textId="77777777" w:rsidR="00AF16C8" w:rsidRPr="00A96519"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Fuente: Defensoría del Pueblo</w:t>
            </w:r>
          </w:p>
        </w:tc>
      </w:tr>
      <w:tr w:rsidR="00AF16C8" w:rsidRPr="00A96519" w14:paraId="6BEFFA1B" w14:textId="77777777" w:rsidTr="007A4D76">
        <w:tc>
          <w:tcPr>
            <w:cnfStyle w:val="001000000000" w:firstRow="0" w:lastRow="0" w:firstColumn="1" w:lastColumn="0" w:oddVBand="0" w:evenVBand="0" w:oddHBand="0" w:evenHBand="0" w:firstRowFirstColumn="0" w:firstRowLastColumn="0" w:lastRowFirstColumn="0" w:lastRowLastColumn="0"/>
            <w:tcW w:w="2558" w:type="dxa"/>
          </w:tcPr>
          <w:p w14:paraId="0DE92F84"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t>Fase del conflicto activo (9 valores)</w:t>
            </w:r>
          </w:p>
        </w:tc>
        <w:tc>
          <w:tcPr>
            <w:tcW w:w="3387" w:type="dxa"/>
          </w:tcPr>
          <w:p w14:paraId="45D09B8B" w14:textId="77777777" w:rsidR="00AF16C8" w:rsidRPr="00A96519"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96519">
              <w:rPr>
                <w:rFonts w:ascii="Palatino Linotype" w:hAnsi="Palatino Linotype"/>
                <w:sz w:val="18"/>
                <w:szCs w:val="18"/>
              </w:rPr>
              <w:t>Se construyó una dummy (0, 1) para cada nivel.</w:t>
            </w:r>
          </w:p>
        </w:tc>
        <w:tc>
          <w:tcPr>
            <w:tcW w:w="2775" w:type="dxa"/>
          </w:tcPr>
          <w:p w14:paraId="6EEBED00" w14:textId="77777777" w:rsidR="00AF16C8" w:rsidRPr="00A96519"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Fuente: Defensoría del Pueblo</w:t>
            </w:r>
          </w:p>
        </w:tc>
      </w:tr>
      <w:tr w:rsidR="00AF16C8" w:rsidRPr="00A96519" w14:paraId="2988F5C8" w14:textId="77777777" w:rsidTr="007A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8" w:type="dxa"/>
          </w:tcPr>
          <w:p w14:paraId="705AC73B"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lastRenderedPageBreak/>
              <w:t>Intensidad del conflicto (20 valores)</w:t>
            </w:r>
          </w:p>
        </w:tc>
        <w:tc>
          <w:tcPr>
            <w:tcW w:w="3387" w:type="dxa"/>
          </w:tcPr>
          <w:p w14:paraId="659A1226" w14:textId="77777777" w:rsidR="00AF16C8" w:rsidRPr="00A96519"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Calculado como el nivel de conflicto-cooperación (en cada conflicto y por mes). </w:t>
            </w:r>
            <w:r w:rsidRPr="00A96519">
              <w:rPr>
                <w:rFonts w:ascii="Palatino Linotype" w:hAnsi="Palatino Linotype"/>
                <w:sz w:val="18"/>
                <w:szCs w:val="18"/>
              </w:rPr>
              <w:t>Se siguió la clasificación de Henisz</w:t>
            </w:r>
          </w:p>
        </w:tc>
        <w:tc>
          <w:tcPr>
            <w:tcW w:w="2775" w:type="dxa"/>
          </w:tcPr>
          <w:p w14:paraId="62B73569" w14:textId="5F35E6F1" w:rsidR="00AF16C8" w:rsidRPr="00A96519" w:rsidRDefault="00AF16C8" w:rsidP="00641F53">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Henisz et. al. (2011, 201</w:t>
            </w:r>
            <w:r w:rsidR="00641F53">
              <w:rPr>
                <w:rFonts w:ascii="Palatino Linotype" w:hAnsi="Palatino Linotype"/>
                <w:sz w:val="18"/>
                <w:szCs w:val="18"/>
              </w:rPr>
              <w:t>4</w:t>
            </w:r>
            <w:r>
              <w:rPr>
                <w:rFonts w:ascii="Palatino Linotype" w:hAnsi="Palatino Linotype"/>
                <w:sz w:val="18"/>
                <w:szCs w:val="18"/>
              </w:rPr>
              <w:t>)</w:t>
            </w:r>
          </w:p>
        </w:tc>
      </w:tr>
      <w:tr w:rsidR="00AF16C8" w:rsidRPr="00A96519" w14:paraId="3944FB17" w14:textId="77777777" w:rsidTr="007A4D76">
        <w:tc>
          <w:tcPr>
            <w:cnfStyle w:val="001000000000" w:firstRow="0" w:lastRow="0" w:firstColumn="1" w:lastColumn="0" w:oddVBand="0" w:evenVBand="0" w:oddHBand="0" w:evenHBand="0" w:firstRowFirstColumn="0" w:firstRowLastColumn="0" w:lastRowFirstColumn="0" w:lastRowLastColumn="0"/>
            <w:tcW w:w="2558" w:type="dxa"/>
          </w:tcPr>
          <w:p w14:paraId="0649BE12"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t>Capital social (20 valores)</w:t>
            </w:r>
          </w:p>
        </w:tc>
        <w:tc>
          <w:tcPr>
            <w:tcW w:w="3387" w:type="dxa"/>
          </w:tcPr>
          <w:p w14:paraId="560D65CB" w14:textId="77777777" w:rsidR="00AF16C8" w:rsidRPr="00A96519"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Calculado promedio mensual de la intensidad del conflicto.</w:t>
            </w:r>
          </w:p>
        </w:tc>
        <w:tc>
          <w:tcPr>
            <w:tcW w:w="2775" w:type="dxa"/>
          </w:tcPr>
          <w:p w14:paraId="5B0711DC" w14:textId="6A1617D0" w:rsidR="00AF16C8" w:rsidRPr="00A96519" w:rsidRDefault="00AF16C8" w:rsidP="00641F53">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Henisz et. al. (2011, 201</w:t>
            </w:r>
            <w:r w:rsidR="00641F53">
              <w:rPr>
                <w:rFonts w:ascii="Palatino Linotype" w:hAnsi="Palatino Linotype"/>
                <w:sz w:val="18"/>
                <w:szCs w:val="18"/>
              </w:rPr>
              <w:t>4</w:t>
            </w:r>
            <w:r>
              <w:rPr>
                <w:rFonts w:ascii="Palatino Linotype" w:hAnsi="Palatino Linotype"/>
                <w:sz w:val="18"/>
                <w:szCs w:val="18"/>
              </w:rPr>
              <w:t>)</w:t>
            </w:r>
          </w:p>
        </w:tc>
      </w:tr>
      <w:tr w:rsidR="00AF16C8" w:rsidRPr="00A96519" w14:paraId="613F87D1" w14:textId="77777777" w:rsidTr="007A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8" w:type="dxa"/>
          </w:tcPr>
          <w:p w14:paraId="266176DA" w14:textId="77777777" w:rsidR="00AF16C8" w:rsidRPr="00A96519" w:rsidRDefault="00AF16C8" w:rsidP="007A4D76">
            <w:pPr>
              <w:jc w:val="both"/>
              <w:rPr>
                <w:rFonts w:ascii="Palatino Linotype" w:hAnsi="Palatino Linotype"/>
                <w:b w:val="0"/>
                <w:sz w:val="18"/>
                <w:szCs w:val="18"/>
              </w:rPr>
            </w:pPr>
            <w:r>
              <w:rPr>
                <w:rFonts w:ascii="Palatino Linotype" w:hAnsi="Palatino Linotype"/>
                <w:b w:val="0"/>
                <w:sz w:val="18"/>
                <w:szCs w:val="18"/>
              </w:rPr>
              <w:t>Ratio de</w:t>
            </w:r>
            <w:r w:rsidRPr="00A96519">
              <w:rPr>
                <w:rFonts w:ascii="Palatino Linotype" w:hAnsi="Palatino Linotype"/>
                <w:b w:val="0"/>
                <w:sz w:val="18"/>
                <w:szCs w:val="18"/>
              </w:rPr>
              <w:t xml:space="preserve"> conflicto</w:t>
            </w:r>
          </w:p>
        </w:tc>
        <w:tc>
          <w:tcPr>
            <w:tcW w:w="3387" w:type="dxa"/>
          </w:tcPr>
          <w:p w14:paraId="04194657" w14:textId="77777777" w:rsidR="00AF16C8" w:rsidRPr="00A96519"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A96519">
              <w:rPr>
                <w:rFonts w:ascii="Palatino Linotype" w:hAnsi="Palatino Linotype"/>
                <w:sz w:val="18"/>
                <w:szCs w:val="18"/>
              </w:rPr>
              <w:t>El número de empresas que tienen conflicto en un mes determinado sobre el número total de empresas.</w:t>
            </w:r>
          </w:p>
        </w:tc>
        <w:tc>
          <w:tcPr>
            <w:tcW w:w="2775" w:type="dxa"/>
          </w:tcPr>
          <w:p w14:paraId="58AC3379" w14:textId="77777777" w:rsidR="00AF16C8" w:rsidRPr="00B402B4" w:rsidRDefault="00AF16C8" w:rsidP="007A4D76">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highlight w:val="yellow"/>
              </w:rPr>
            </w:pPr>
            <w:r w:rsidRPr="00936E2B">
              <w:rPr>
                <w:rFonts w:ascii="Palatino Linotype" w:hAnsi="Palatino Linotype"/>
                <w:sz w:val="18"/>
                <w:szCs w:val="18"/>
              </w:rPr>
              <w:t>Elaboración propia</w:t>
            </w:r>
          </w:p>
        </w:tc>
      </w:tr>
      <w:tr w:rsidR="00AF16C8" w:rsidRPr="00A96519" w14:paraId="2E6688F9" w14:textId="77777777" w:rsidTr="007A4D76">
        <w:tc>
          <w:tcPr>
            <w:cnfStyle w:val="001000000000" w:firstRow="0" w:lastRow="0" w:firstColumn="1" w:lastColumn="0" w:oddVBand="0" w:evenVBand="0" w:oddHBand="0" w:evenHBand="0" w:firstRowFirstColumn="0" w:firstRowLastColumn="0" w:lastRowFirstColumn="0" w:lastRowLastColumn="0"/>
            <w:tcW w:w="2558" w:type="dxa"/>
          </w:tcPr>
          <w:p w14:paraId="5D4A351D" w14:textId="77777777" w:rsidR="00AF16C8" w:rsidRPr="00A96519" w:rsidRDefault="00AF16C8" w:rsidP="007A4D76">
            <w:pPr>
              <w:jc w:val="both"/>
              <w:rPr>
                <w:rFonts w:ascii="Palatino Linotype" w:hAnsi="Palatino Linotype"/>
                <w:b w:val="0"/>
                <w:sz w:val="18"/>
                <w:szCs w:val="18"/>
              </w:rPr>
            </w:pPr>
            <w:r w:rsidRPr="00A96519">
              <w:rPr>
                <w:rFonts w:ascii="Palatino Linotype" w:hAnsi="Palatino Linotype"/>
                <w:b w:val="0"/>
                <w:sz w:val="18"/>
                <w:szCs w:val="18"/>
              </w:rPr>
              <w:t xml:space="preserve">Dummy de asimetría </w:t>
            </w:r>
          </w:p>
        </w:tc>
        <w:tc>
          <w:tcPr>
            <w:tcW w:w="3387" w:type="dxa"/>
          </w:tcPr>
          <w:p w14:paraId="02E491B9" w14:textId="77777777" w:rsidR="00AF16C8" w:rsidRPr="00A96519"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A96519">
              <w:rPr>
                <w:rFonts w:ascii="Palatino Linotype" w:hAnsi="Palatino Linotype"/>
                <w:sz w:val="18"/>
                <w:szCs w:val="18"/>
              </w:rPr>
              <w:t>Toma el valor 1 cuando el rendimiento es negativo y cero en caso contrario. Esta dummy se multiplica al capital social para capturar el comportamiento asimétrico de esta</w:t>
            </w:r>
            <w:r>
              <w:rPr>
                <w:rFonts w:ascii="Palatino Linotype" w:hAnsi="Palatino Linotype"/>
                <w:sz w:val="18"/>
                <w:szCs w:val="18"/>
              </w:rPr>
              <w:t xml:space="preserve"> variable</w:t>
            </w:r>
            <w:r w:rsidRPr="00A96519">
              <w:rPr>
                <w:rFonts w:ascii="Palatino Linotype" w:hAnsi="Palatino Linotype"/>
                <w:sz w:val="18"/>
                <w:szCs w:val="18"/>
              </w:rPr>
              <w:t>.</w:t>
            </w:r>
          </w:p>
        </w:tc>
        <w:tc>
          <w:tcPr>
            <w:tcW w:w="2775" w:type="dxa"/>
          </w:tcPr>
          <w:p w14:paraId="15B7272C" w14:textId="77777777" w:rsidR="00AF16C8" w:rsidRPr="00936E2B" w:rsidRDefault="00AF16C8" w:rsidP="007A4D76">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El análisis de asimetría se ha observado en otros campos. Política fiscal: </w:t>
            </w:r>
            <w:r w:rsidRPr="00936E2B">
              <w:rPr>
                <w:rFonts w:ascii="Palatino Linotype" w:hAnsi="Palatino Linotype"/>
                <w:sz w:val="18"/>
                <w:szCs w:val="18"/>
              </w:rPr>
              <w:t>Baum y Koester (2011); Papadimitriou et al (2013)</w:t>
            </w:r>
            <w:r>
              <w:rPr>
                <w:rFonts w:ascii="Palatino Linotype" w:hAnsi="Palatino Linotype"/>
                <w:sz w:val="18"/>
                <w:szCs w:val="18"/>
              </w:rPr>
              <w:t>. Política monetaria:</w:t>
            </w:r>
            <w:r w:rsidRPr="00936E2B">
              <w:rPr>
                <w:rFonts w:ascii="Palatino Linotype" w:hAnsi="Palatino Linotype"/>
                <w:sz w:val="18"/>
                <w:szCs w:val="18"/>
              </w:rPr>
              <w:t xml:space="preserve"> Ravn y Sola (2004) </w:t>
            </w:r>
          </w:p>
        </w:tc>
      </w:tr>
    </w:tbl>
    <w:p w14:paraId="2EA1759A" w14:textId="77777777" w:rsidR="00AF16C8" w:rsidRPr="00734BFB" w:rsidRDefault="00AF16C8" w:rsidP="00AF16C8">
      <w:pPr>
        <w:rPr>
          <w:rFonts w:ascii="Palatino Linotype" w:hAnsi="Palatino Linotype"/>
          <w:b/>
        </w:rPr>
      </w:pP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1B2DFEF4" w14:textId="77777777" w:rsidR="00AF16C8" w:rsidRDefault="00AF16C8" w:rsidP="005F13DD">
      <w:pPr>
        <w:rPr>
          <w:rFonts w:ascii="Palatino Linotype" w:hAnsi="Palatino Linotype"/>
          <w:sz w:val="24"/>
          <w:szCs w:val="24"/>
        </w:rPr>
      </w:pPr>
    </w:p>
    <w:p w14:paraId="6227A100" w14:textId="5E535439" w:rsidR="005F13DD" w:rsidRPr="00680587" w:rsidRDefault="005F13DD" w:rsidP="005F13DD">
      <w:pPr>
        <w:rPr>
          <w:rFonts w:ascii="Palatino Linotype" w:hAnsi="Palatino Linotype"/>
          <w:b/>
        </w:rPr>
      </w:pPr>
      <w:r w:rsidRPr="00680587">
        <w:rPr>
          <w:rFonts w:ascii="Palatino Linotype" w:hAnsi="Palatino Linotype"/>
          <w:sz w:val="24"/>
          <w:szCs w:val="24"/>
        </w:rPr>
        <w:t xml:space="preserve">IV.2.2- </w:t>
      </w:r>
      <w:r w:rsidR="00680587" w:rsidRPr="00680587">
        <w:rPr>
          <w:rFonts w:ascii="Palatino Linotype" w:hAnsi="Palatino Linotype"/>
          <w:b/>
        </w:rPr>
        <w:t>Capital social</w:t>
      </w:r>
    </w:p>
    <w:p w14:paraId="4A3AA6A1" w14:textId="131BF684" w:rsidR="00680587" w:rsidRDefault="00680587" w:rsidP="00680587">
      <w:pPr>
        <w:jc w:val="both"/>
        <w:rPr>
          <w:rFonts w:ascii="Palatino Linotype" w:hAnsi="Palatino Linotype"/>
        </w:rPr>
      </w:pPr>
      <w:r>
        <w:rPr>
          <w:rFonts w:ascii="Palatino Linotype" w:hAnsi="Palatino Linotype"/>
        </w:rPr>
        <w:t>El capital social está c</w:t>
      </w:r>
      <w:r w:rsidRPr="00680587">
        <w:rPr>
          <w:rFonts w:ascii="Palatino Linotype" w:hAnsi="Palatino Linotype"/>
        </w:rPr>
        <w:t xml:space="preserve">alculado </w:t>
      </w:r>
      <w:r>
        <w:rPr>
          <w:rFonts w:ascii="Palatino Linotype" w:hAnsi="Palatino Linotype"/>
        </w:rPr>
        <w:t xml:space="preserve">como el </w:t>
      </w:r>
      <w:r w:rsidRPr="00680587">
        <w:rPr>
          <w:rFonts w:ascii="Palatino Linotype" w:hAnsi="Palatino Linotype"/>
        </w:rPr>
        <w:t xml:space="preserve">promedio mensual </w:t>
      </w:r>
      <w:r>
        <w:rPr>
          <w:rFonts w:ascii="Palatino Linotype" w:hAnsi="Palatino Linotype"/>
        </w:rPr>
        <w:t xml:space="preserve">de la intensidad del conflicto (Henisz et. al., 2011, </w:t>
      </w:r>
      <w:r w:rsidRPr="00680587">
        <w:rPr>
          <w:rFonts w:ascii="Palatino Linotype" w:hAnsi="Palatino Linotype"/>
        </w:rPr>
        <w:t>201</w:t>
      </w:r>
      <w:r w:rsidR="00641F53">
        <w:rPr>
          <w:rFonts w:ascii="Palatino Linotype" w:hAnsi="Palatino Linotype"/>
        </w:rPr>
        <w:t>4</w:t>
      </w:r>
      <w:r w:rsidRPr="00680587">
        <w:rPr>
          <w:rFonts w:ascii="Palatino Linotype" w:hAnsi="Palatino Linotype"/>
        </w:rPr>
        <w:t>)</w:t>
      </w:r>
      <w:r>
        <w:rPr>
          <w:rFonts w:ascii="Palatino Linotype" w:hAnsi="Palatino Linotype"/>
        </w:rPr>
        <w:t xml:space="preserve">. </w:t>
      </w:r>
      <w:r w:rsidR="00ED65CA">
        <w:rPr>
          <w:rFonts w:ascii="Palatino Linotype" w:hAnsi="Palatino Linotype"/>
        </w:rPr>
        <w:t xml:space="preserve"> </w:t>
      </w:r>
      <w:r>
        <w:rPr>
          <w:rFonts w:ascii="Palatino Linotype" w:hAnsi="Palatino Linotype"/>
        </w:rPr>
        <w:t>Además, la intensidad de conflicto es c</w:t>
      </w:r>
      <w:r w:rsidRPr="00680587">
        <w:rPr>
          <w:rFonts w:ascii="Palatino Linotype" w:hAnsi="Palatino Linotype"/>
        </w:rPr>
        <w:t>alculado como el nivel de conflicto-cooperació</w:t>
      </w:r>
      <w:r>
        <w:rPr>
          <w:rFonts w:ascii="Palatino Linotype" w:hAnsi="Palatino Linotype"/>
        </w:rPr>
        <w:t xml:space="preserve">n (en cada conflicto y por mes) en línea con Henisz et. al. (2011, </w:t>
      </w:r>
      <w:r w:rsidRPr="00680587">
        <w:rPr>
          <w:rFonts w:ascii="Palatino Linotype" w:hAnsi="Palatino Linotype"/>
        </w:rPr>
        <w:t>201</w:t>
      </w:r>
      <w:r w:rsidR="00641F53">
        <w:rPr>
          <w:rFonts w:ascii="Palatino Linotype" w:hAnsi="Palatino Linotype"/>
        </w:rPr>
        <w:t>4</w:t>
      </w:r>
      <w:r w:rsidRPr="00680587">
        <w:rPr>
          <w:rFonts w:ascii="Palatino Linotype" w:hAnsi="Palatino Linotype"/>
        </w:rPr>
        <w:t>)</w:t>
      </w:r>
      <w:r w:rsidR="0059029D">
        <w:rPr>
          <w:rFonts w:ascii="Palatino Linotype" w:hAnsi="Palatino Linotype"/>
        </w:rPr>
        <w:t>. Cabe su</w:t>
      </w:r>
      <w:r w:rsidR="00ED65CA">
        <w:rPr>
          <w:rFonts w:ascii="Palatino Linotype" w:hAnsi="Palatino Linotype"/>
        </w:rPr>
        <w:t>brayar que la intensidad de conflicto mide las relaciones que existen entre la empresa y la comunidad</w:t>
      </w:r>
      <w:r w:rsidR="001B4ADF">
        <w:rPr>
          <w:rFonts w:ascii="Palatino Linotype" w:hAnsi="Palatino Linotype"/>
        </w:rPr>
        <w:t xml:space="preserve"> en una escala del uno al veinte. Donde el valor de uno indica protestas y huelgas como una expresión de la comunidad en contra de la empresa, y el valor de veinte indica un fuerte apoyo por parte de la comunidad a los proyectos de la empresa. </w:t>
      </w:r>
      <w:r w:rsidR="003554C1">
        <w:rPr>
          <w:rFonts w:ascii="Palatino Linotype" w:hAnsi="Palatino Linotype"/>
        </w:rPr>
        <w:t>Por tanto</w:t>
      </w:r>
      <w:r w:rsidR="003554C1" w:rsidRPr="007F2689">
        <w:rPr>
          <w:rFonts w:ascii="Palatino Linotype" w:hAnsi="Palatino Linotype"/>
        </w:rPr>
        <w:t xml:space="preserve">, según estos autores, </w:t>
      </w:r>
      <w:r w:rsidR="001B4ADF" w:rsidRPr="007F2689">
        <w:rPr>
          <w:rFonts w:ascii="Palatino Linotype" w:hAnsi="Palatino Linotype"/>
        </w:rPr>
        <w:t xml:space="preserve">cuando </w:t>
      </w:r>
      <w:r w:rsidR="001B4ADF">
        <w:rPr>
          <w:rFonts w:ascii="Palatino Linotype" w:hAnsi="Palatino Linotype"/>
        </w:rPr>
        <w:t xml:space="preserve">la intensidad de conflicto es muy bajo entonces el capital social de la empresa también es bajo; de otro lado, cuando la intensidad del conflicto es muy alta (cercana a veinte) el capital social también es alta. </w:t>
      </w:r>
    </w:p>
    <w:p w14:paraId="0F204DB6" w14:textId="1C2B820B" w:rsidR="007A4D76" w:rsidRPr="005F13DD" w:rsidRDefault="007A4D76" w:rsidP="007A4D76">
      <w:pPr>
        <w:jc w:val="both"/>
        <w:rPr>
          <w:rFonts w:ascii="Palatino Linotype" w:hAnsi="Palatino Linotype"/>
          <w:i/>
          <w:highlight w:val="green"/>
        </w:rPr>
      </w:pPr>
      <w:r>
        <w:rPr>
          <w:rFonts w:ascii="Palatino Linotype" w:hAnsi="Palatino Linotype"/>
          <w:i/>
          <w:sz w:val="24"/>
          <w:szCs w:val="24"/>
        </w:rPr>
        <w:t>IV.2.2.1</w:t>
      </w:r>
      <w:r w:rsidRPr="005F13DD">
        <w:rPr>
          <w:rFonts w:ascii="Palatino Linotype" w:hAnsi="Palatino Linotype"/>
          <w:i/>
          <w:sz w:val="24"/>
          <w:szCs w:val="24"/>
        </w:rPr>
        <w:t xml:space="preserve">- </w:t>
      </w:r>
      <w:r>
        <w:rPr>
          <w:rFonts w:ascii="Palatino Linotype" w:hAnsi="Palatino Linotype"/>
          <w:i/>
          <w:sz w:val="24"/>
          <w:szCs w:val="24"/>
        </w:rPr>
        <w:t>Operacionalizaci</w:t>
      </w:r>
      <w:r w:rsidRPr="007A4D76">
        <w:rPr>
          <w:rFonts w:ascii="Palatino Linotype" w:hAnsi="Palatino Linotype"/>
          <w:i/>
          <w:sz w:val="24"/>
          <w:szCs w:val="24"/>
        </w:rPr>
        <w:t>ó</w:t>
      </w:r>
      <w:r>
        <w:rPr>
          <w:rFonts w:ascii="Palatino Linotype" w:hAnsi="Palatino Linotype"/>
          <w:i/>
          <w:sz w:val="24"/>
          <w:szCs w:val="24"/>
        </w:rPr>
        <w:t>n de l</w:t>
      </w:r>
      <w:r w:rsidRPr="005F13DD">
        <w:rPr>
          <w:rFonts w:ascii="Palatino Linotype" w:hAnsi="Palatino Linotype"/>
          <w:i/>
          <w:sz w:val="24"/>
          <w:szCs w:val="24"/>
        </w:rPr>
        <w:t>a variable Capital Social</w:t>
      </w:r>
    </w:p>
    <w:p w14:paraId="78F9E4C2" w14:textId="78311D75" w:rsidR="0059029D" w:rsidRDefault="007A4D76" w:rsidP="007A4D76">
      <w:pPr>
        <w:jc w:val="both"/>
        <w:rPr>
          <w:rFonts w:ascii="Palatino Linotype" w:hAnsi="Palatino Linotype"/>
        </w:rPr>
      </w:pPr>
      <w:r w:rsidRPr="00D45CA5">
        <w:rPr>
          <w:rFonts w:ascii="Palatino Linotype" w:hAnsi="Palatino Linotype"/>
        </w:rPr>
        <w:t>Esta variable es calculada como el nivel promedio mensual de la intensidad del conflicto (Henisz et. al.; 2011, 201</w:t>
      </w:r>
      <w:r w:rsidR="00641F53">
        <w:rPr>
          <w:rFonts w:ascii="Palatino Linotype" w:hAnsi="Palatino Linotype"/>
        </w:rPr>
        <w:t>4</w:t>
      </w:r>
      <w:r w:rsidRPr="00D45CA5">
        <w:rPr>
          <w:rFonts w:ascii="Palatino Linotype" w:hAnsi="Palatino Linotype"/>
        </w:rPr>
        <w:t>).</w:t>
      </w:r>
      <w:r w:rsidR="0059029D">
        <w:rPr>
          <w:rFonts w:ascii="Palatino Linotype" w:hAnsi="Palatino Linotype"/>
        </w:rPr>
        <w:t xml:space="preserve"> </w:t>
      </w:r>
    </w:p>
    <w:p w14:paraId="6551E82D" w14:textId="77BB6A10" w:rsidR="007A4D76" w:rsidRDefault="003554C1" w:rsidP="007A4D76">
      <w:pPr>
        <w:jc w:val="both"/>
        <w:rPr>
          <w:rFonts w:ascii="Palatino Linotype" w:hAnsi="Palatino Linotype"/>
        </w:rPr>
      </w:pPr>
      <w:r>
        <w:rPr>
          <w:rFonts w:ascii="Palatino Linotype" w:hAnsi="Palatino Linotype"/>
        </w:rPr>
        <w:t>E</w:t>
      </w:r>
      <w:r w:rsidR="0059029D">
        <w:rPr>
          <w:rFonts w:ascii="Palatino Linotype" w:hAnsi="Palatino Linotype"/>
        </w:rPr>
        <w:t>n esta investigación se considera</w:t>
      </w:r>
      <w:r>
        <w:rPr>
          <w:rFonts w:ascii="Palatino Linotype" w:hAnsi="Palatino Linotype"/>
        </w:rPr>
        <w:t>n</w:t>
      </w:r>
      <w:r w:rsidR="0059029D">
        <w:rPr>
          <w:rFonts w:ascii="Palatino Linotype" w:hAnsi="Palatino Linotype"/>
        </w:rPr>
        <w:t xml:space="preserve"> dos variables, además del capital social, que están relacionadas con el conflicto social: ratio de conflicto y dummy de asimetría. Por un lado, el ratio de conflicto está definido</w:t>
      </w:r>
      <w:r w:rsidR="007A4D76">
        <w:rPr>
          <w:rFonts w:ascii="Palatino Linotype" w:hAnsi="Palatino Linotype"/>
        </w:rPr>
        <w:t xml:space="preserve"> como e</w:t>
      </w:r>
      <w:r w:rsidR="007A4D76" w:rsidRPr="003F32BD">
        <w:rPr>
          <w:rFonts w:ascii="Palatino Linotype" w:hAnsi="Palatino Linotype"/>
        </w:rPr>
        <w:t>l número de empresas que tienen conflicto en un mes determinado sobre el número total de empresas.</w:t>
      </w:r>
      <w:r w:rsidR="007A4D76">
        <w:rPr>
          <w:rFonts w:ascii="Palatino Linotype" w:hAnsi="Palatino Linotype"/>
        </w:rPr>
        <w:t xml:space="preserve"> </w:t>
      </w:r>
    </w:p>
    <w:p w14:paraId="7A72BF6A" w14:textId="28CFA213" w:rsidR="007A4D76" w:rsidRPr="00CE453C" w:rsidRDefault="0059029D" w:rsidP="007A4D76">
      <w:pPr>
        <w:jc w:val="both"/>
        <w:rPr>
          <w:rFonts w:ascii="Palatino Linotype" w:hAnsi="Palatino Linotype"/>
        </w:rPr>
      </w:pPr>
      <w:r>
        <w:rPr>
          <w:rFonts w:ascii="Palatino Linotype" w:hAnsi="Palatino Linotype"/>
        </w:rPr>
        <w:t xml:space="preserve">De otro lado, la dummy de asimetría </w:t>
      </w:r>
      <w:r w:rsidR="007A4D76">
        <w:rPr>
          <w:rFonts w:ascii="Palatino Linotype" w:hAnsi="Palatino Linotype"/>
        </w:rPr>
        <w:t xml:space="preserve">toma </w:t>
      </w:r>
      <w:r w:rsidR="007A4D76" w:rsidRPr="003F32BD">
        <w:rPr>
          <w:rFonts w:ascii="Palatino Linotype" w:hAnsi="Palatino Linotype"/>
        </w:rPr>
        <w:t>el valor 1 cuando el rendimiento es negativo y cero en caso contrario</w:t>
      </w:r>
      <w:r w:rsidR="007A4D76">
        <w:rPr>
          <w:rFonts w:ascii="Palatino Linotype" w:hAnsi="Palatino Linotype"/>
        </w:rPr>
        <w:t>. Cabe mencionar que existe una ausencia en la literatura con respecto al estudio de los efectos asimétricos del capi</w:t>
      </w:r>
      <w:r w:rsidR="003554C1">
        <w:rPr>
          <w:rFonts w:ascii="Palatino Linotype" w:hAnsi="Palatino Linotype"/>
        </w:rPr>
        <w:t xml:space="preserve">tal social sobre el rendimiento. Sin </w:t>
      </w:r>
      <w:r w:rsidR="003554C1">
        <w:rPr>
          <w:rFonts w:ascii="Palatino Linotype" w:hAnsi="Palatino Linotype"/>
        </w:rPr>
        <w:lastRenderedPageBreak/>
        <w:t xml:space="preserve">embargo, </w:t>
      </w:r>
      <w:r w:rsidR="007A4D76">
        <w:rPr>
          <w:rFonts w:ascii="Palatino Linotype" w:hAnsi="Palatino Linotype"/>
        </w:rPr>
        <w:t>dicha asimetría es estudiada en otros campos de la ciencia; por ejemplo, en la política fiscal (</w:t>
      </w:r>
      <w:r w:rsidR="007A4D76" w:rsidRPr="003F32BD">
        <w:rPr>
          <w:rFonts w:ascii="Palatino Linotype" w:hAnsi="Palatino Linotype"/>
        </w:rPr>
        <w:t>Baum y Koester, 2011; Papadimitriou et al, 2013</w:t>
      </w:r>
      <w:r w:rsidR="007A4D76">
        <w:rPr>
          <w:rFonts w:ascii="Palatino Linotype" w:hAnsi="Palatino Linotype"/>
        </w:rPr>
        <w:t>) y en la política monetaria (</w:t>
      </w:r>
      <w:r w:rsidR="007A4D76" w:rsidRPr="003F32BD">
        <w:rPr>
          <w:rFonts w:ascii="Palatino Linotype" w:hAnsi="Palatino Linotype"/>
        </w:rPr>
        <w:t>Ravn y Sola, 2004</w:t>
      </w:r>
      <w:r w:rsidR="007A4D76">
        <w:rPr>
          <w:rFonts w:ascii="Palatino Linotype" w:hAnsi="Palatino Linotype"/>
        </w:rPr>
        <w:t>).</w:t>
      </w:r>
    </w:p>
    <w:p w14:paraId="4F1D28E6" w14:textId="77777777" w:rsidR="007A4D76" w:rsidRPr="00680587" w:rsidRDefault="007A4D76" w:rsidP="00680587">
      <w:pPr>
        <w:jc w:val="both"/>
        <w:rPr>
          <w:rFonts w:ascii="Palatino Linotype" w:hAnsi="Palatino Linotype"/>
        </w:rPr>
      </w:pPr>
    </w:p>
    <w:p w14:paraId="48CBEA7E" w14:textId="60CB2209" w:rsidR="005F13DD" w:rsidRPr="00680587" w:rsidRDefault="005F13DD" w:rsidP="005F13DD">
      <w:pPr>
        <w:rPr>
          <w:rFonts w:ascii="Palatino Linotype" w:hAnsi="Palatino Linotype"/>
        </w:rPr>
      </w:pPr>
      <w:r w:rsidRPr="00680587">
        <w:rPr>
          <w:rFonts w:ascii="Palatino Linotype" w:hAnsi="Palatino Linotype"/>
          <w:sz w:val="24"/>
          <w:szCs w:val="24"/>
        </w:rPr>
        <w:t xml:space="preserve">IV.2.3- </w:t>
      </w:r>
      <w:r w:rsidR="00680587" w:rsidRPr="00680587">
        <w:rPr>
          <w:rFonts w:ascii="Palatino Linotype" w:hAnsi="Palatino Linotype"/>
          <w:b/>
        </w:rPr>
        <w:t>Valor de la empresa</w:t>
      </w:r>
    </w:p>
    <w:p w14:paraId="1702D164" w14:textId="1166B547" w:rsidR="005F13DD" w:rsidRPr="00680587" w:rsidRDefault="00680587" w:rsidP="00680587">
      <w:pPr>
        <w:jc w:val="both"/>
        <w:rPr>
          <w:rFonts w:ascii="Palatino Linotype" w:hAnsi="Palatino Linotype"/>
        </w:rPr>
      </w:pPr>
      <w:r w:rsidRPr="00680587">
        <w:rPr>
          <w:rFonts w:ascii="Palatino Linotype" w:hAnsi="Palatino Linotype"/>
        </w:rPr>
        <w:t xml:space="preserve">El </w:t>
      </w:r>
      <w:r>
        <w:rPr>
          <w:rFonts w:ascii="Palatino Linotype" w:hAnsi="Palatino Linotype"/>
        </w:rPr>
        <w:t xml:space="preserve">valor de la empresa está definido como la tasa de crecimiento del precio de las acciones, a la cual se le llama rendimiento. </w:t>
      </w:r>
    </w:p>
    <w:p w14:paraId="52FA2E63" w14:textId="39D77F33" w:rsidR="00734BFB" w:rsidRPr="003554C1" w:rsidRDefault="003554C1" w:rsidP="00734BFB">
      <w:pPr>
        <w:jc w:val="both"/>
        <w:rPr>
          <w:rFonts w:ascii="Palatino Linotype" w:hAnsi="Palatino Linotype"/>
          <w:i/>
          <w:sz w:val="24"/>
        </w:rPr>
      </w:pPr>
      <w:r w:rsidRPr="003554C1">
        <w:rPr>
          <w:rFonts w:ascii="Palatino Linotype" w:hAnsi="Palatino Linotype"/>
          <w:i/>
          <w:sz w:val="24"/>
        </w:rPr>
        <w:t xml:space="preserve">IV.2.3.1 Operacionalización del valor de empresa: </w:t>
      </w:r>
      <w:r w:rsidR="00734BFB" w:rsidRPr="003554C1">
        <w:rPr>
          <w:rFonts w:ascii="Palatino Linotype" w:hAnsi="Palatino Linotype"/>
          <w:i/>
          <w:sz w:val="24"/>
        </w:rPr>
        <w:t xml:space="preserve">Las variables macroeconómicas </w:t>
      </w:r>
    </w:p>
    <w:p w14:paraId="7EDF9376" w14:textId="73189E81" w:rsidR="00734BFB" w:rsidRPr="00EE4499" w:rsidRDefault="00734BFB" w:rsidP="00734BFB">
      <w:pPr>
        <w:jc w:val="both"/>
        <w:rPr>
          <w:rFonts w:ascii="Palatino Linotype" w:hAnsi="Palatino Linotype"/>
        </w:rPr>
      </w:pPr>
      <w:r w:rsidRPr="00EE4499">
        <w:rPr>
          <w:rFonts w:ascii="Palatino Linotype" w:hAnsi="Palatino Linotype"/>
        </w:rPr>
        <w:t xml:space="preserve">De la revisión de literatura </w:t>
      </w:r>
      <w:r w:rsidRPr="00680587">
        <w:rPr>
          <w:rFonts w:ascii="Palatino Linotype" w:hAnsi="Palatino Linotype"/>
        </w:rPr>
        <w:t>se ha encontrado que las variables macroeconómicas que tienen efectos sobre el rendimiento de las acciones de la bolsa de valores son:</w:t>
      </w:r>
      <w:r w:rsidRPr="00EE4499">
        <w:rPr>
          <w:rFonts w:ascii="Palatino Linotype" w:hAnsi="Palatino Linotype"/>
        </w:rPr>
        <w:t xml:space="preserve"> Producto bruto interno (PBI), la oferta monetaria, la inflación y los términos de intercambio (Chen et. al., 1986; Gan et. al., 2006; Humpe y Macmillan, 2009; Bulmash y Trivoli, 1991; Abdullah y Haywo</w:t>
      </w:r>
      <w:r>
        <w:rPr>
          <w:rFonts w:ascii="Palatino Linotype" w:hAnsi="Palatino Linotype"/>
        </w:rPr>
        <w:t>rth, 1993; Dhakal et. al., 1993</w:t>
      </w:r>
      <w:r w:rsidR="00A857C0">
        <w:rPr>
          <w:rFonts w:ascii="Palatino Linotype" w:hAnsi="Palatino Linotype"/>
        </w:rPr>
        <w:t>; Castillo y Salas, 2012</w:t>
      </w:r>
      <w:r w:rsidRPr="00EE4499">
        <w:rPr>
          <w:rFonts w:ascii="Palatino Linotype" w:hAnsi="Palatino Linotype"/>
        </w:rPr>
        <w:t xml:space="preserve">). </w:t>
      </w:r>
      <w:r w:rsidRPr="00CB0242">
        <w:rPr>
          <w:rFonts w:ascii="Palatino Linotype" w:hAnsi="Palatino Linotype"/>
        </w:rPr>
        <w:t>Para nuestro estudio, la fuente de dichas variables es el Banco Central de Reserva del Perú (BCRP).</w:t>
      </w:r>
    </w:p>
    <w:p w14:paraId="62290DD3" w14:textId="610A1344" w:rsidR="00734BFB" w:rsidRDefault="009C3084" w:rsidP="00734BFB">
      <w:pPr>
        <w:pStyle w:val="Prrafodelista"/>
        <w:spacing w:after="0" w:line="240" w:lineRule="auto"/>
        <w:ind w:left="0"/>
        <w:jc w:val="center"/>
        <w:rPr>
          <w:rFonts w:ascii="Palatino Linotype" w:hAnsi="Palatino Linotype"/>
          <w:b/>
        </w:rPr>
      </w:pPr>
      <w:r>
        <w:rPr>
          <w:rFonts w:ascii="Palatino Linotype" w:hAnsi="Palatino Linotype"/>
          <w:b/>
        </w:rPr>
        <w:t xml:space="preserve">Tabla 2. </w:t>
      </w:r>
      <w:r w:rsidR="00734BFB" w:rsidRPr="009C3084">
        <w:rPr>
          <w:rFonts w:ascii="Palatino Linotype" w:hAnsi="Palatino Linotype"/>
        </w:rPr>
        <w:t>Operacionalización de las variables macroeconómicas</w:t>
      </w:r>
    </w:p>
    <w:p w14:paraId="5C045083" w14:textId="77777777" w:rsidR="00734BFB" w:rsidRPr="00E938C7" w:rsidRDefault="00734BFB" w:rsidP="00734BFB">
      <w:pPr>
        <w:pStyle w:val="Prrafodelista"/>
        <w:spacing w:after="0" w:line="240" w:lineRule="auto"/>
        <w:ind w:left="426"/>
        <w:jc w:val="center"/>
        <w:rPr>
          <w:rFonts w:ascii="Palatino Linotype" w:hAnsi="Palatino Linotype"/>
          <w:b/>
        </w:rPr>
      </w:pPr>
    </w:p>
    <w:tbl>
      <w:tblPr>
        <w:tblStyle w:val="Sombreadoclaro-nfasis1"/>
        <w:tblW w:w="0" w:type="auto"/>
        <w:jc w:val="center"/>
        <w:tblLook w:val="04A0" w:firstRow="1" w:lastRow="0" w:firstColumn="1" w:lastColumn="0" w:noHBand="0" w:noVBand="1"/>
      </w:tblPr>
      <w:tblGrid>
        <w:gridCol w:w="1744"/>
        <w:gridCol w:w="3467"/>
        <w:gridCol w:w="3344"/>
      </w:tblGrid>
      <w:tr w:rsidR="00734BFB" w:rsidRPr="00E938C7" w14:paraId="6686B354" w14:textId="77777777" w:rsidTr="00734B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4" w:type="dxa"/>
          </w:tcPr>
          <w:p w14:paraId="2C918AE8" w14:textId="77777777" w:rsidR="00734BFB" w:rsidRPr="009C3084" w:rsidRDefault="00734BFB" w:rsidP="00734BFB">
            <w:pPr>
              <w:pStyle w:val="Prrafodelista"/>
              <w:ind w:left="0"/>
              <w:jc w:val="center"/>
              <w:rPr>
                <w:rFonts w:ascii="Palatino Linotype" w:hAnsi="Palatino Linotype"/>
                <w:sz w:val="20"/>
                <w:szCs w:val="20"/>
              </w:rPr>
            </w:pPr>
            <w:r w:rsidRPr="009C3084">
              <w:rPr>
                <w:rFonts w:ascii="Palatino Linotype" w:hAnsi="Palatino Linotype"/>
                <w:sz w:val="20"/>
                <w:szCs w:val="20"/>
              </w:rPr>
              <w:t>Variable</w:t>
            </w:r>
          </w:p>
        </w:tc>
        <w:tc>
          <w:tcPr>
            <w:tcW w:w="3467" w:type="dxa"/>
          </w:tcPr>
          <w:p w14:paraId="668AAD89" w14:textId="77777777" w:rsidR="00734BFB" w:rsidRPr="009C3084" w:rsidRDefault="00734BFB" w:rsidP="00734BF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9C3084">
              <w:rPr>
                <w:rFonts w:ascii="Palatino Linotype" w:hAnsi="Palatino Linotype"/>
                <w:sz w:val="20"/>
                <w:szCs w:val="20"/>
              </w:rPr>
              <w:t>Operacionalización</w:t>
            </w:r>
          </w:p>
        </w:tc>
        <w:tc>
          <w:tcPr>
            <w:tcW w:w="3344" w:type="dxa"/>
          </w:tcPr>
          <w:p w14:paraId="71305701" w14:textId="77777777" w:rsidR="00734BFB" w:rsidRPr="009C3084" w:rsidRDefault="00734BFB" w:rsidP="00734BF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9C3084">
              <w:rPr>
                <w:rFonts w:ascii="Palatino Linotype" w:hAnsi="Palatino Linotype"/>
                <w:sz w:val="20"/>
                <w:szCs w:val="20"/>
              </w:rPr>
              <w:t>Autor</w:t>
            </w:r>
          </w:p>
        </w:tc>
      </w:tr>
      <w:tr w:rsidR="00734BFB" w:rsidRPr="00E938C7" w14:paraId="6A8CD363"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4" w:type="dxa"/>
          </w:tcPr>
          <w:p w14:paraId="589A81FE" w14:textId="77777777" w:rsidR="00734BFB" w:rsidRPr="00992D43" w:rsidRDefault="00734BFB" w:rsidP="00734BFB">
            <w:pPr>
              <w:pStyle w:val="Prrafodelista"/>
              <w:ind w:left="0"/>
              <w:jc w:val="both"/>
              <w:rPr>
                <w:rFonts w:ascii="Palatino Linotype" w:hAnsi="Palatino Linotype"/>
                <w:sz w:val="18"/>
                <w:szCs w:val="18"/>
              </w:rPr>
            </w:pPr>
            <w:r w:rsidRPr="00992D43">
              <w:rPr>
                <w:rFonts w:ascii="Palatino Linotype" w:hAnsi="Palatino Linotype"/>
                <w:sz w:val="18"/>
                <w:szCs w:val="18"/>
              </w:rPr>
              <w:t>Producto bruto interno (PBI)</w:t>
            </w:r>
          </w:p>
        </w:tc>
        <w:tc>
          <w:tcPr>
            <w:tcW w:w="3467" w:type="dxa"/>
          </w:tcPr>
          <w:p w14:paraId="3A79DD5E" w14:textId="77777777" w:rsidR="00734BFB" w:rsidRPr="00992D43" w:rsidRDefault="00734BFB" w:rsidP="00734BF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992D43">
              <w:rPr>
                <w:rFonts w:ascii="Palatino Linotype" w:hAnsi="Palatino Linotype"/>
                <w:sz w:val="18"/>
                <w:szCs w:val="18"/>
              </w:rPr>
              <w:t xml:space="preserve">Tasa de crecimiento anual del PBI (real) </w:t>
            </w:r>
          </w:p>
          <w:p w14:paraId="702E2ECB" w14:textId="77777777" w:rsidR="00734BFB" w:rsidRPr="00992D43" w:rsidRDefault="00734BFB" w:rsidP="00734BF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p>
        </w:tc>
        <w:tc>
          <w:tcPr>
            <w:tcW w:w="3344" w:type="dxa"/>
          </w:tcPr>
          <w:p w14:paraId="36C6252C" w14:textId="77777777" w:rsidR="00734BFB" w:rsidRPr="00992D43" w:rsidRDefault="00734BFB" w:rsidP="00734BF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Chen et. al. (1986); Gan et. al. (2006); Humpe y Macmillan (2009)</w:t>
            </w:r>
          </w:p>
        </w:tc>
      </w:tr>
      <w:tr w:rsidR="00734BFB" w:rsidRPr="00E938C7" w14:paraId="030F13F3" w14:textId="77777777" w:rsidTr="00734BFB">
        <w:trPr>
          <w:jc w:val="center"/>
        </w:trPr>
        <w:tc>
          <w:tcPr>
            <w:cnfStyle w:val="001000000000" w:firstRow="0" w:lastRow="0" w:firstColumn="1" w:lastColumn="0" w:oddVBand="0" w:evenVBand="0" w:oddHBand="0" w:evenHBand="0" w:firstRowFirstColumn="0" w:firstRowLastColumn="0" w:lastRowFirstColumn="0" w:lastRowLastColumn="0"/>
            <w:tcW w:w="1744" w:type="dxa"/>
          </w:tcPr>
          <w:p w14:paraId="379664F7" w14:textId="77777777" w:rsidR="00734BFB" w:rsidRPr="00992D43" w:rsidRDefault="00734BFB" w:rsidP="00734BFB">
            <w:pPr>
              <w:pStyle w:val="Prrafodelista"/>
              <w:ind w:left="0"/>
              <w:jc w:val="both"/>
              <w:rPr>
                <w:rFonts w:ascii="Palatino Linotype" w:hAnsi="Palatino Linotype"/>
                <w:sz w:val="18"/>
                <w:szCs w:val="18"/>
              </w:rPr>
            </w:pPr>
            <w:r w:rsidRPr="00992D43">
              <w:rPr>
                <w:rFonts w:ascii="Palatino Linotype" w:hAnsi="Palatino Linotype"/>
                <w:sz w:val="18"/>
                <w:szCs w:val="18"/>
              </w:rPr>
              <w:t>Términos de intercambio (TI)</w:t>
            </w:r>
          </w:p>
        </w:tc>
        <w:tc>
          <w:tcPr>
            <w:tcW w:w="3467" w:type="dxa"/>
          </w:tcPr>
          <w:p w14:paraId="1FAC3611" w14:textId="77777777" w:rsidR="00734BFB" w:rsidRPr="00992D43" w:rsidRDefault="00734BFB" w:rsidP="00734BFB">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Tasa de crecimiento anual de los términos de intercambio mensual.</w:t>
            </w:r>
          </w:p>
        </w:tc>
        <w:tc>
          <w:tcPr>
            <w:tcW w:w="3344" w:type="dxa"/>
          </w:tcPr>
          <w:p w14:paraId="2CA2F7F4" w14:textId="4BF75AE8" w:rsidR="00734BFB" w:rsidRPr="00992D43" w:rsidRDefault="00734BFB" w:rsidP="00734BFB">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Castillo y Salas (</w:t>
            </w:r>
            <w:r w:rsidR="00A857C0">
              <w:rPr>
                <w:rFonts w:ascii="Palatino Linotype" w:hAnsi="Palatino Linotype"/>
                <w:sz w:val="18"/>
                <w:szCs w:val="18"/>
              </w:rPr>
              <w:t>2012</w:t>
            </w:r>
            <w:r w:rsidRPr="00992D43">
              <w:rPr>
                <w:rFonts w:ascii="Palatino Linotype" w:hAnsi="Palatino Linotype"/>
                <w:sz w:val="18"/>
                <w:szCs w:val="18"/>
              </w:rPr>
              <w:t>)</w:t>
            </w:r>
          </w:p>
        </w:tc>
      </w:tr>
      <w:tr w:rsidR="00734BFB" w:rsidRPr="00E938C7" w14:paraId="21140125" w14:textId="77777777" w:rsidTr="00734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4" w:type="dxa"/>
          </w:tcPr>
          <w:p w14:paraId="747D0F9D" w14:textId="77777777" w:rsidR="00734BFB" w:rsidRPr="00992D43" w:rsidRDefault="00734BFB" w:rsidP="00734BFB">
            <w:pPr>
              <w:pStyle w:val="Prrafodelista"/>
              <w:ind w:left="0"/>
              <w:jc w:val="both"/>
              <w:rPr>
                <w:rFonts w:ascii="Palatino Linotype" w:hAnsi="Palatino Linotype"/>
                <w:sz w:val="18"/>
                <w:szCs w:val="18"/>
              </w:rPr>
            </w:pPr>
            <w:r w:rsidRPr="00992D43">
              <w:rPr>
                <w:rFonts w:ascii="Palatino Linotype" w:hAnsi="Palatino Linotype"/>
                <w:sz w:val="18"/>
                <w:szCs w:val="18"/>
              </w:rPr>
              <w:t>Oferta monetaria</w:t>
            </w:r>
          </w:p>
        </w:tc>
        <w:tc>
          <w:tcPr>
            <w:tcW w:w="3467" w:type="dxa"/>
          </w:tcPr>
          <w:p w14:paraId="7CCCFF08" w14:textId="77777777" w:rsidR="00734BFB" w:rsidRPr="00EE4499" w:rsidRDefault="00734BFB" w:rsidP="00734BFB">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 xml:space="preserve">Tasa de crecimiento anual de la oferta monetaria mensual. </w:t>
            </w:r>
          </w:p>
        </w:tc>
        <w:tc>
          <w:tcPr>
            <w:tcW w:w="3344" w:type="dxa"/>
          </w:tcPr>
          <w:p w14:paraId="5F60D68E" w14:textId="77777777" w:rsidR="00734BFB" w:rsidRPr="00992D43" w:rsidRDefault="00734BFB" w:rsidP="00734BFB">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Bulmash y Trivoli  (1991); Abdullah y Hayworth (1993); Dhakal et. al. (1993); Humpe y Macmillan (2009)</w:t>
            </w:r>
          </w:p>
        </w:tc>
      </w:tr>
      <w:tr w:rsidR="00734BFB" w:rsidRPr="00E938C7" w14:paraId="234D25BC" w14:textId="77777777" w:rsidTr="00734BFB">
        <w:trPr>
          <w:jc w:val="center"/>
        </w:trPr>
        <w:tc>
          <w:tcPr>
            <w:cnfStyle w:val="001000000000" w:firstRow="0" w:lastRow="0" w:firstColumn="1" w:lastColumn="0" w:oddVBand="0" w:evenVBand="0" w:oddHBand="0" w:evenHBand="0" w:firstRowFirstColumn="0" w:firstRowLastColumn="0" w:lastRowFirstColumn="0" w:lastRowLastColumn="0"/>
            <w:tcW w:w="1744" w:type="dxa"/>
          </w:tcPr>
          <w:p w14:paraId="177CB013" w14:textId="77777777" w:rsidR="00734BFB" w:rsidRPr="00992D43" w:rsidRDefault="00734BFB" w:rsidP="00734BFB">
            <w:pPr>
              <w:pStyle w:val="Prrafodelista"/>
              <w:ind w:left="0"/>
              <w:jc w:val="both"/>
              <w:rPr>
                <w:rFonts w:ascii="Palatino Linotype" w:hAnsi="Palatino Linotype"/>
                <w:sz w:val="18"/>
                <w:szCs w:val="18"/>
              </w:rPr>
            </w:pPr>
            <w:r w:rsidRPr="00992D43">
              <w:rPr>
                <w:rFonts w:ascii="Palatino Linotype" w:hAnsi="Palatino Linotype"/>
                <w:sz w:val="18"/>
                <w:szCs w:val="18"/>
              </w:rPr>
              <w:t>Inflación</w:t>
            </w:r>
          </w:p>
        </w:tc>
        <w:tc>
          <w:tcPr>
            <w:tcW w:w="3467" w:type="dxa"/>
          </w:tcPr>
          <w:p w14:paraId="257B9542" w14:textId="77777777" w:rsidR="00734BFB" w:rsidRPr="00992D43" w:rsidRDefault="00734BFB" w:rsidP="00734BFB">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Tasa de crecimiento anual del índice de precios al consumidor mensual.</w:t>
            </w:r>
          </w:p>
        </w:tc>
        <w:tc>
          <w:tcPr>
            <w:tcW w:w="3344" w:type="dxa"/>
          </w:tcPr>
          <w:p w14:paraId="1119BBFA" w14:textId="77777777" w:rsidR="00734BFB" w:rsidRPr="00992D43" w:rsidRDefault="00734BFB" w:rsidP="00734BFB">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sidRPr="00992D43">
              <w:rPr>
                <w:rFonts w:ascii="Palatino Linotype" w:hAnsi="Palatino Linotype"/>
                <w:sz w:val="18"/>
                <w:szCs w:val="18"/>
              </w:rPr>
              <w:t>Ferrer (2000); Li et. al. (2010); Díaz y Jareño (2009 y 2013); Oxman (2012)</w:t>
            </w:r>
          </w:p>
        </w:tc>
      </w:tr>
    </w:tbl>
    <w:p w14:paraId="7CA8C129" w14:textId="4C0860BD" w:rsidR="005F13DD" w:rsidRPr="00CE453C" w:rsidRDefault="00734BFB" w:rsidP="00CE453C">
      <w:pPr>
        <w:pStyle w:val="Prrafodelista"/>
        <w:ind w:left="0"/>
        <w:jc w:val="both"/>
        <w:rPr>
          <w:rFonts w:ascii="Palatino Linotype" w:hAnsi="Palatino Linotype"/>
          <w:b/>
          <w:sz w:val="16"/>
          <w:szCs w:val="16"/>
        </w:rPr>
      </w:pPr>
      <w:r>
        <w:rPr>
          <w:rFonts w:ascii="Palatino Linotype" w:hAnsi="Palatino Linotype"/>
          <w:b/>
          <w:sz w:val="16"/>
          <w:szCs w:val="16"/>
        </w:rPr>
        <w:t xml:space="preserve">   </w:t>
      </w: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12D480A3" w14:textId="77777777" w:rsidR="00AF16C8" w:rsidRDefault="00AF16C8" w:rsidP="00734BFB">
      <w:pPr>
        <w:jc w:val="both"/>
        <w:rPr>
          <w:rFonts w:ascii="Palatino Linotype" w:hAnsi="Palatino Linotype"/>
          <w:i/>
          <w:sz w:val="24"/>
          <w:szCs w:val="24"/>
        </w:rPr>
      </w:pPr>
    </w:p>
    <w:p w14:paraId="63D11956" w14:textId="4B369EB0" w:rsidR="00734BFB" w:rsidRPr="002E2251" w:rsidRDefault="00734BFB" w:rsidP="002E2251">
      <w:pPr>
        <w:pStyle w:val="Ttulo1"/>
        <w:tabs>
          <w:tab w:val="left" w:pos="426"/>
        </w:tabs>
      </w:pPr>
      <w:r w:rsidRPr="00734BFB">
        <w:t>Análisis y resu</w:t>
      </w:r>
      <w:r w:rsidR="002E2251">
        <w:t>ltados</w:t>
      </w:r>
    </w:p>
    <w:p w14:paraId="67C5DEAB" w14:textId="77777777" w:rsidR="00734BFB" w:rsidRPr="002E2251" w:rsidRDefault="00734BFB" w:rsidP="002E2251">
      <w:pPr>
        <w:pStyle w:val="Ttulo2"/>
        <w:tabs>
          <w:tab w:val="left" w:pos="284"/>
        </w:tabs>
        <w:ind w:left="0"/>
        <w:rPr>
          <w:rFonts w:ascii="Palatino Linotype" w:hAnsi="Palatino Linotype"/>
          <w:sz w:val="24"/>
          <w:szCs w:val="24"/>
        </w:rPr>
      </w:pPr>
      <w:r w:rsidRPr="002E2251">
        <w:rPr>
          <w:rFonts w:ascii="Palatino Linotype" w:hAnsi="Palatino Linotype"/>
          <w:sz w:val="24"/>
          <w:szCs w:val="24"/>
        </w:rPr>
        <w:t>Método de análisis estadístico</w:t>
      </w:r>
    </w:p>
    <w:p w14:paraId="2CFC2B93" w14:textId="77777777" w:rsidR="00734BFB" w:rsidRDefault="00734BFB" w:rsidP="00734BFB">
      <w:pPr>
        <w:jc w:val="both"/>
        <w:rPr>
          <w:rFonts w:ascii="Palatino Linotype" w:hAnsi="Palatino Linotype"/>
        </w:rPr>
      </w:pPr>
      <w:r>
        <w:rPr>
          <w:rFonts w:ascii="Palatino Linotype" w:hAnsi="Palatino Linotype"/>
        </w:rPr>
        <w:t>El método utilizado es regresión lineal multivariada debido a dos ideas principales. La primera es que la literatura sugiere que el rendimiento de las acciones podría tener un comportamiento lineal con respecto a las variables macroeconómicas (</w:t>
      </w:r>
      <w:r w:rsidRPr="00EE4499">
        <w:rPr>
          <w:rFonts w:ascii="Palatino Linotype" w:hAnsi="Palatino Linotype"/>
        </w:rPr>
        <w:t xml:space="preserve">Chen et. al., 1986; </w:t>
      </w:r>
      <w:r w:rsidRPr="00EE4499">
        <w:rPr>
          <w:rFonts w:ascii="Palatino Linotype" w:hAnsi="Palatino Linotype"/>
        </w:rPr>
        <w:lastRenderedPageBreak/>
        <w:t>Gan et. al., 2006; Humpe y Macmillan, 2009</w:t>
      </w:r>
      <w:r>
        <w:rPr>
          <w:rFonts w:ascii="Palatino Linotype" w:hAnsi="Palatino Linotype"/>
        </w:rPr>
        <w:t>)</w:t>
      </w:r>
      <w:r>
        <w:rPr>
          <w:rStyle w:val="Refdenotaalpie"/>
          <w:rFonts w:ascii="Palatino Linotype" w:hAnsi="Palatino Linotype"/>
        </w:rPr>
        <w:footnoteReference w:id="2"/>
      </w:r>
      <w:r>
        <w:rPr>
          <w:rFonts w:ascii="Palatino Linotype" w:hAnsi="Palatino Linotype"/>
        </w:rPr>
        <w:t>. La segunda es que dicha metodología permite estudiar el residuo en función de otras variables. En este contexto, se concibe al rendimiento como la suma de dos componentes: macroeconómico y socio-político. Siendo el residuo el componente socio-político, el cual es estudiado por variables de conflicto social.</w:t>
      </w:r>
    </w:p>
    <w:p w14:paraId="128ADE69" w14:textId="77777777" w:rsidR="0040437B" w:rsidRPr="00FC45D2" w:rsidRDefault="0040437B" w:rsidP="00734BFB">
      <w:pPr>
        <w:jc w:val="both"/>
        <w:rPr>
          <w:rFonts w:ascii="Palatino Linotype" w:hAnsi="Palatino Linotype"/>
          <w:b/>
          <w:i/>
        </w:rPr>
      </w:pPr>
    </w:p>
    <w:p w14:paraId="61207DFE" w14:textId="77777777" w:rsidR="00734BFB" w:rsidRPr="002E2251" w:rsidRDefault="00734BFB" w:rsidP="002E2251">
      <w:pPr>
        <w:pStyle w:val="Ttulo2"/>
        <w:tabs>
          <w:tab w:val="left" w:pos="284"/>
        </w:tabs>
        <w:ind w:left="0"/>
        <w:rPr>
          <w:rFonts w:ascii="Palatino Linotype" w:hAnsi="Palatino Linotype"/>
          <w:sz w:val="24"/>
          <w:szCs w:val="24"/>
        </w:rPr>
      </w:pPr>
      <w:r w:rsidRPr="002E2251">
        <w:rPr>
          <w:rFonts w:ascii="Palatino Linotype" w:hAnsi="Palatino Linotype"/>
          <w:sz w:val="24"/>
          <w:szCs w:val="24"/>
        </w:rPr>
        <w:t>Resultados</w:t>
      </w:r>
    </w:p>
    <w:p w14:paraId="368E6013" w14:textId="77777777" w:rsidR="00734BFB" w:rsidRPr="002E2251" w:rsidRDefault="00734BFB" w:rsidP="002E2251">
      <w:pPr>
        <w:jc w:val="both"/>
        <w:rPr>
          <w:rFonts w:ascii="Palatino Linotype" w:hAnsi="Palatino Linotype"/>
          <w:b/>
          <w:i/>
        </w:rPr>
      </w:pPr>
      <w:r w:rsidRPr="002E2251">
        <w:rPr>
          <w:rFonts w:ascii="Palatino Linotype" w:hAnsi="Palatino Linotype"/>
          <w:b/>
          <w:i/>
        </w:rPr>
        <w:t>Análisis descriptivo</w:t>
      </w:r>
    </w:p>
    <w:p w14:paraId="5828C6BA" w14:textId="65094251" w:rsidR="00734BFB" w:rsidRPr="0040437B" w:rsidRDefault="00734BFB" w:rsidP="0040437B">
      <w:pPr>
        <w:jc w:val="both"/>
        <w:rPr>
          <w:rFonts w:ascii="Palatino Linotype" w:hAnsi="Palatino Linotype"/>
        </w:rPr>
      </w:pPr>
      <w:r w:rsidRPr="002E2251">
        <w:rPr>
          <w:rFonts w:ascii="Palatino Linotype" w:hAnsi="Palatino Linotype"/>
        </w:rPr>
        <w:t xml:space="preserve">El análisis descriptivo de las variables macroeconómicas se puede apreciar en el </w:t>
      </w:r>
      <w:r w:rsidRPr="002E2251">
        <w:rPr>
          <w:rFonts w:ascii="Palatino Linotype" w:hAnsi="Palatino Linotype"/>
          <w:b/>
          <w:i/>
        </w:rPr>
        <w:t>cuadro 1</w:t>
      </w:r>
      <w:r w:rsidRPr="002E2251">
        <w:rPr>
          <w:rFonts w:ascii="Palatino Linotype" w:hAnsi="Palatino Linotype"/>
        </w:rPr>
        <w:t>. Entre los principales indicadores se puede apreciar que la inflación tiene la menor varianza; es decir, los datos se encuentran más cerca del promedio. De otro lado los valores de la probabilidad asociada al estadístico Jarque-Bera son menores al nivel de significancia (5%), lo cual sugiere que todas las variables macroeconómicas se distribuyen normalmente.</w:t>
      </w:r>
    </w:p>
    <w:tbl>
      <w:tblPr>
        <w:tblStyle w:val="Tablaconcuadrcula"/>
        <w:tblW w:w="87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026"/>
      </w:tblGrid>
      <w:tr w:rsidR="00734BFB" w14:paraId="2BF969AB" w14:textId="77777777" w:rsidTr="0040437B">
        <w:tc>
          <w:tcPr>
            <w:tcW w:w="4732" w:type="dxa"/>
          </w:tcPr>
          <w:p w14:paraId="2F5CB63F" w14:textId="59AF3EA9" w:rsidR="00734BFB" w:rsidRPr="0040437B" w:rsidRDefault="0040437B" w:rsidP="00734BFB">
            <w:pPr>
              <w:pStyle w:val="Prrafodelista"/>
              <w:ind w:left="34"/>
              <w:jc w:val="center"/>
              <w:rPr>
                <w:rFonts w:ascii="Palatino Linotype" w:hAnsi="Palatino Linotype"/>
                <w:b/>
              </w:rPr>
            </w:pPr>
            <w:r w:rsidRPr="0040437B">
              <w:rPr>
                <w:rFonts w:ascii="Palatino Linotype" w:hAnsi="Palatino Linotype"/>
                <w:b/>
              </w:rPr>
              <w:t>Tabla 4</w:t>
            </w:r>
            <w:r w:rsidR="00734BFB" w:rsidRPr="0040437B">
              <w:rPr>
                <w:rFonts w:ascii="Palatino Linotype" w:hAnsi="Palatino Linotype"/>
                <w:b/>
              </w:rPr>
              <w:t>.</w:t>
            </w:r>
            <w:r w:rsidR="00734BFB" w:rsidRPr="0040437B">
              <w:rPr>
                <w:rFonts w:ascii="Palatino Linotype" w:hAnsi="Palatino Linotype"/>
              </w:rPr>
              <w:t xml:space="preserve"> Descriptivos variables macroeconómicas</w:t>
            </w:r>
          </w:p>
        </w:tc>
        <w:tc>
          <w:tcPr>
            <w:tcW w:w="4026" w:type="dxa"/>
          </w:tcPr>
          <w:p w14:paraId="12C85F37" w14:textId="43FF3E0F" w:rsidR="00734BFB" w:rsidRPr="0040437B" w:rsidRDefault="0040437B" w:rsidP="00734BFB">
            <w:pPr>
              <w:pStyle w:val="Prrafodelista"/>
              <w:ind w:left="0"/>
              <w:jc w:val="center"/>
              <w:rPr>
                <w:rFonts w:ascii="Palatino Linotype" w:hAnsi="Palatino Linotype"/>
                <w:b/>
              </w:rPr>
            </w:pPr>
            <w:r>
              <w:rPr>
                <w:rFonts w:ascii="Palatino Linotype" w:hAnsi="Palatino Linotype"/>
                <w:b/>
              </w:rPr>
              <w:t>Tabla 5</w:t>
            </w:r>
            <w:r w:rsidR="00734BFB" w:rsidRPr="0040437B">
              <w:rPr>
                <w:rFonts w:ascii="Palatino Linotype" w:hAnsi="Palatino Linotype"/>
                <w:b/>
              </w:rPr>
              <w:t xml:space="preserve">. </w:t>
            </w:r>
            <w:r w:rsidR="00734BFB" w:rsidRPr="0040437B">
              <w:rPr>
                <w:rFonts w:ascii="Palatino Linotype" w:hAnsi="Palatino Linotype"/>
              </w:rPr>
              <w:t>Matriz de correlaciones de las variables macroeconómicas</w:t>
            </w:r>
          </w:p>
        </w:tc>
      </w:tr>
      <w:tr w:rsidR="00734BFB" w14:paraId="6B7E5014" w14:textId="77777777" w:rsidTr="0040437B">
        <w:tc>
          <w:tcPr>
            <w:tcW w:w="4732" w:type="dxa"/>
          </w:tcPr>
          <w:p w14:paraId="1A5790CD" w14:textId="77777777" w:rsidR="00734BFB" w:rsidRDefault="00734BFB" w:rsidP="00734BFB">
            <w:pPr>
              <w:pStyle w:val="Prrafodelista"/>
              <w:ind w:left="34"/>
              <w:jc w:val="both"/>
              <w:rPr>
                <w:rFonts w:ascii="Palatino Linotype" w:hAnsi="Palatino Linotype"/>
                <w:b/>
              </w:rPr>
            </w:pPr>
            <w:r w:rsidRPr="00B55ACB">
              <w:rPr>
                <w:noProof/>
                <w:lang w:val="es-PE"/>
              </w:rPr>
              <w:drawing>
                <wp:inline distT="0" distB="0" distL="0" distR="0" wp14:anchorId="7DEDFCAC" wp14:editId="2E034AAC">
                  <wp:extent cx="2846368" cy="21145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583" cy="2116938"/>
                          </a:xfrm>
                          <a:prstGeom prst="rect">
                            <a:avLst/>
                          </a:prstGeom>
                          <a:noFill/>
                          <a:ln>
                            <a:noFill/>
                          </a:ln>
                        </pic:spPr>
                      </pic:pic>
                    </a:graphicData>
                  </a:graphic>
                </wp:inline>
              </w:drawing>
            </w:r>
          </w:p>
        </w:tc>
        <w:tc>
          <w:tcPr>
            <w:tcW w:w="4026" w:type="dxa"/>
          </w:tcPr>
          <w:p w14:paraId="2C5ACD7C" w14:textId="77777777" w:rsidR="00734BFB" w:rsidRDefault="00734BFB" w:rsidP="00734BFB">
            <w:pPr>
              <w:pStyle w:val="Prrafodelista"/>
              <w:ind w:left="0"/>
              <w:jc w:val="both"/>
              <w:rPr>
                <w:rFonts w:ascii="Palatino Linotype" w:hAnsi="Palatino Linotype"/>
                <w:b/>
              </w:rPr>
            </w:pPr>
          </w:p>
          <w:p w14:paraId="3289CCB0" w14:textId="77777777" w:rsidR="00734BFB" w:rsidRDefault="00734BFB" w:rsidP="00734BFB">
            <w:pPr>
              <w:pStyle w:val="Prrafodelista"/>
              <w:ind w:left="0"/>
              <w:jc w:val="both"/>
              <w:rPr>
                <w:rFonts w:ascii="Palatino Linotype" w:hAnsi="Palatino Linotype"/>
                <w:b/>
              </w:rPr>
            </w:pPr>
            <w:r>
              <w:rPr>
                <w:rFonts w:ascii="Palatino Linotype" w:hAnsi="Palatino Linotype"/>
                <w:b/>
                <w:noProof/>
                <w:lang w:val="es-PE"/>
              </w:rPr>
              <w:drawing>
                <wp:inline distT="0" distB="0" distL="0" distR="0" wp14:anchorId="4F546972" wp14:editId="745E26C2">
                  <wp:extent cx="2418443" cy="546100"/>
                  <wp:effectExtent l="0" t="0" r="127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304" cy="546972"/>
                          </a:xfrm>
                          <a:prstGeom prst="rect">
                            <a:avLst/>
                          </a:prstGeom>
                          <a:noFill/>
                          <a:ln>
                            <a:noFill/>
                          </a:ln>
                        </pic:spPr>
                      </pic:pic>
                    </a:graphicData>
                  </a:graphic>
                </wp:inline>
              </w:drawing>
            </w:r>
          </w:p>
        </w:tc>
      </w:tr>
      <w:tr w:rsidR="00734BFB" w14:paraId="2F059114" w14:textId="77777777" w:rsidTr="0040437B">
        <w:tc>
          <w:tcPr>
            <w:tcW w:w="4732" w:type="dxa"/>
          </w:tcPr>
          <w:p w14:paraId="67D30ECB" w14:textId="77777777" w:rsidR="00734BFB" w:rsidRDefault="00734BFB" w:rsidP="00734BFB">
            <w:pPr>
              <w:pStyle w:val="Prrafodelista"/>
              <w:ind w:left="-851"/>
              <w:jc w:val="both"/>
              <w:rPr>
                <w:rFonts w:ascii="Palatino Linotype" w:hAnsi="Palatino Linotype"/>
                <w:b/>
              </w:rPr>
            </w:pPr>
          </w:p>
        </w:tc>
        <w:tc>
          <w:tcPr>
            <w:tcW w:w="4026" w:type="dxa"/>
          </w:tcPr>
          <w:p w14:paraId="26EB616E" w14:textId="77777777" w:rsidR="00734BFB" w:rsidRDefault="00734BFB" w:rsidP="00734BFB">
            <w:pPr>
              <w:pStyle w:val="Prrafodelista"/>
              <w:ind w:left="0"/>
              <w:jc w:val="both"/>
              <w:rPr>
                <w:rFonts w:ascii="Palatino Linotype" w:hAnsi="Palatino Linotype"/>
                <w:b/>
              </w:rPr>
            </w:pPr>
          </w:p>
        </w:tc>
      </w:tr>
    </w:tbl>
    <w:p w14:paraId="31FC9AF2" w14:textId="42D0F30E" w:rsidR="0040437B" w:rsidRDefault="0040437B" w:rsidP="00734BFB">
      <w:pPr>
        <w:jc w:val="both"/>
        <w:rPr>
          <w:rFonts w:ascii="Palatino Linotype" w:hAnsi="Palatino Linotype"/>
        </w:rPr>
      </w:pP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039B771F" w14:textId="1146E62F" w:rsidR="00734BFB" w:rsidRDefault="00734BFB" w:rsidP="00734BFB">
      <w:pPr>
        <w:jc w:val="both"/>
        <w:rPr>
          <w:rFonts w:ascii="Palatino Linotype" w:hAnsi="Palatino Linotype"/>
        </w:rPr>
      </w:pPr>
      <w:r>
        <w:rPr>
          <w:rFonts w:ascii="Palatino Linotype" w:hAnsi="Palatino Linotype"/>
        </w:rPr>
        <w:t xml:space="preserve">En el </w:t>
      </w:r>
      <w:r w:rsidRPr="008405D4">
        <w:rPr>
          <w:rFonts w:ascii="Palatino Linotype" w:hAnsi="Palatino Linotype"/>
          <w:b/>
          <w:i/>
        </w:rPr>
        <w:t>cuadro 2</w:t>
      </w:r>
      <w:r>
        <w:rPr>
          <w:rFonts w:ascii="Palatino Linotype" w:hAnsi="Palatino Linotype"/>
        </w:rPr>
        <w:t xml:space="preserve"> se muestra la matriz de correlaciones de las variables macroeconómicas seleccionadas. Un nivel de correlación menor o igual al valor absoluto de 0.6 sugiere ausencia de multicolinealidad entre dichas variables en el modelo de regresión lineal. Al comparar el coeficiente de correlación entre las posibles variables explicativas del </w:t>
      </w:r>
      <w:r>
        <w:rPr>
          <w:rFonts w:ascii="Palatino Linotype" w:hAnsi="Palatino Linotype"/>
        </w:rPr>
        <w:lastRenderedPageBreak/>
        <w:t>rendimiento (PBI, inflación, TI y número de conflictos) se encontró que la inflación está altamente correlacionada con los TI (coeficiente de correlación de -0.84). La literatura sugiere que una variable que capture el comportamiento del ciclo económico debería ser introducida en la explicación del rendimiento (</w:t>
      </w:r>
      <w:r w:rsidRPr="00EE4499">
        <w:rPr>
          <w:rFonts w:ascii="Palatino Linotype" w:hAnsi="Palatino Linotype"/>
        </w:rPr>
        <w:t>Humpe y Macmillan, 2009</w:t>
      </w:r>
      <w:r>
        <w:rPr>
          <w:rFonts w:ascii="Palatino Linotype" w:hAnsi="Palatino Linotype"/>
        </w:rPr>
        <w:t>). En línea con lo anterior y que, además, para el caso peruano los TI reflejan los ciclos económicos del Perú (Castillo y Salas, 20</w:t>
      </w:r>
      <w:r w:rsidR="00A857C0">
        <w:rPr>
          <w:rFonts w:ascii="Palatino Linotype" w:hAnsi="Palatino Linotype"/>
        </w:rPr>
        <w:t>12</w:t>
      </w:r>
      <w:r>
        <w:rPr>
          <w:rFonts w:ascii="Palatino Linotype" w:hAnsi="Palatino Linotype"/>
        </w:rPr>
        <w:t>), se optó por considerar los TI y quitar de las posibles variables explicativas a la inflación. Esta decisión se verá confirmada con el bajo nivel de ajuste de la inflación al explicar el rendimiento.</w:t>
      </w:r>
    </w:p>
    <w:p w14:paraId="1B37AB8F" w14:textId="77777777" w:rsidR="003554C1" w:rsidRDefault="003554C1" w:rsidP="002E2251">
      <w:pPr>
        <w:jc w:val="both"/>
        <w:rPr>
          <w:rFonts w:ascii="Palatino Linotype" w:hAnsi="Palatino Linotype"/>
          <w:b/>
          <w:i/>
        </w:rPr>
      </w:pPr>
    </w:p>
    <w:p w14:paraId="7E35A558" w14:textId="77777777" w:rsidR="00734BFB" w:rsidRPr="001C3ACE" w:rsidRDefault="00734BFB" w:rsidP="002E2251">
      <w:pPr>
        <w:jc w:val="both"/>
        <w:rPr>
          <w:rFonts w:ascii="Palatino Linotype" w:hAnsi="Palatino Linotype"/>
          <w:b/>
          <w:i/>
        </w:rPr>
      </w:pPr>
      <w:r w:rsidRPr="001C3ACE">
        <w:rPr>
          <w:rFonts w:ascii="Palatino Linotype" w:hAnsi="Palatino Linotype"/>
          <w:b/>
          <w:i/>
        </w:rPr>
        <w:t>Validación de hipótesis</w:t>
      </w:r>
    </w:p>
    <w:p w14:paraId="6B150CF0" w14:textId="5129FFB4" w:rsidR="00734BFB" w:rsidRPr="001C3ACE" w:rsidRDefault="00ED65CA" w:rsidP="002E2251">
      <w:pPr>
        <w:jc w:val="both"/>
        <w:rPr>
          <w:rFonts w:ascii="Palatino Linotype" w:hAnsi="Palatino Linotype"/>
        </w:rPr>
      </w:pPr>
      <w:r w:rsidRPr="001C3ACE">
        <w:rPr>
          <w:rFonts w:ascii="Palatino Linotype" w:hAnsi="Palatino Linotype"/>
          <w:noProof/>
          <w:lang w:val="es-PE"/>
        </w:rPr>
        <mc:AlternateContent>
          <mc:Choice Requires="wps">
            <w:drawing>
              <wp:anchor distT="0" distB="0" distL="114300" distR="114300" simplePos="0" relativeHeight="251710464" behindDoc="0" locked="0" layoutInCell="1" allowOverlap="1" wp14:anchorId="6643E6EF" wp14:editId="2113C5AC">
                <wp:simplePos x="0" y="0"/>
                <wp:positionH relativeFrom="column">
                  <wp:posOffset>1232866</wp:posOffset>
                </wp:positionH>
                <wp:positionV relativeFrom="paragraph">
                  <wp:posOffset>1745615</wp:posOffset>
                </wp:positionV>
                <wp:extent cx="3395980" cy="730885"/>
                <wp:effectExtent l="0" t="0" r="13970" b="12065"/>
                <wp:wrapNone/>
                <wp:docPr id="38" name="38 Rectángulo"/>
                <wp:cNvGraphicFramePr/>
                <a:graphic xmlns:a="http://schemas.openxmlformats.org/drawingml/2006/main">
                  <a:graphicData uri="http://schemas.microsoft.com/office/word/2010/wordprocessingShape">
                    <wps:wsp>
                      <wps:cNvSpPr/>
                      <wps:spPr>
                        <a:xfrm>
                          <a:off x="0" y="0"/>
                          <a:ext cx="3395980" cy="730885"/>
                        </a:xfrm>
                        <a:prstGeom prst="rect">
                          <a:avLst/>
                        </a:prstGeom>
                        <a:solidFill>
                          <a:schemeClr val="accent1">
                            <a:alpha val="2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0A1D6" id="38 Rectángulo" o:spid="_x0000_s1026" style="position:absolute;margin-left:97.1pt;margin-top:137.45pt;width:267.4pt;height:57.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vSlwIAAJcFAAAOAAAAZHJzL2Uyb0RvYy54bWysVM1u2zAMvg/YOwi6r85Ps6ZBnSJo0WFA&#10;0RZth54VWYoFSKImKXGyt9mz7MVGyY4btNkOwy42KZIfxU8kLy63RpON8EGBLenwZECJsBwqZVcl&#10;/fZ882lKSYjMVkyDFSXdiUAv5x8/XDRuJkZQg66EJwhiw6xxJa1jdLOiCLwWhoUTcMKiUYI3LKLq&#10;V0XlWYPoRhejweBz0YCvnAcuQsDT69ZI5xlfSsHjvZRBRKJLineL+evzd5m+xfyCzVaeuVrx7hrs&#10;H25hmLKYtIe6ZpGRtVfvoIziHgLIeMLBFCCl4iLXgNUMB2+qeaqZE7kWJCe4nqbw/2D53ebBE1WV&#10;dIwvZZnBNxpPySMS9+unXa01JIoaF2bo+eQefKcFFFO9W+lN+mMlZJtp3fW0im0kHA/H4/PJ+RTZ&#10;52g7Gw+m00kCLV6jnQ/xiwBDklBSj9kzm2xzG2LrundJyQJoVd0orbOSWkVcaU82DB+ZcS5sHLbh&#10;2tWsPR5hs+TXxqy5uVJEvsMBWJHqbCvLUtxpkVJo+ygkkoS1jDJwj/A+Z6hZJdrjCaY8njMDJmSJ&#10;RfTY7aX/gN2y0PmnUJG7uw8e/O1ibXAfkTODjX2wURb8MQCNTHaZW3+k7ICaJC6h2mELeWhnKzh+&#10;o/AVb1mID8zjMOHD44KI9/iRGpqSQidRUoP/cew8+WOPo5WSBoezpOH7mnlBif5qsfvPh6enaZqz&#10;cjo5G6HiDy3LQ4tdmyvA1hjiKnI8i8k/6r0oPZgX3COLlBVNzHLMXVIe/V65iu3SwE3ExWKR3XCC&#10;HYu39snxBJ5YTV36vH1h3nWtHHEI7mA/yGz2pqNb3xRpYbGOIFVu91deO75x+nOzdpsqrZdDPXu9&#10;7tP5bwAAAP//AwBQSwMEFAAGAAgAAAAhAM2x97XfAAAACwEAAA8AAABkcnMvZG93bnJldi54bWxM&#10;j91OhDAQhe9NfIdmTLwxbiviIkjZGM0m3m3Y9QEKHYHYH6SFxbd3vNLLk/ly5jvlbrWGLTiFwTsJ&#10;dxsBDF3r9eA6Ce+n/e0jsBCV08p4hxK+McCuurwoVaH92dW4HGPHqMSFQknoYxwLzkPbo1Vh40d0&#10;dPvwk1WR4tRxPakzlVvDEyG23KrB0YdejfjSY/t5nK2E1+ZmW+/Tt4VP5vQlMjs/1AeU8vpqfX4C&#10;FnGNfzD86pM6VOTU+NnpwAzlPE0IlZBkaQ6MiCzJaV0j4T4XAnhV8v8bqh8AAAD//wMAUEsBAi0A&#10;FAAGAAgAAAAhALaDOJL+AAAA4QEAABMAAAAAAAAAAAAAAAAAAAAAAFtDb250ZW50X1R5cGVzXS54&#10;bWxQSwECLQAUAAYACAAAACEAOP0h/9YAAACUAQAACwAAAAAAAAAAAAAAAAAvAQAAX3JlbHMvLnJl&#10;bHNQSwECLQAUAAYACAAAACEAGlUL0pcCAACXBQAADgAAAAAAAAAAAAAAAAAuAgAAZHJzL2Uyb0Rv&#10;Yy54bWxQSwECLQAUAAYACAAAACEAzbH3td8AAAALAQAADwAAAAAAAAAAAAAAAADxBAAAZHJzL2Rv&#10;d25yZXYueG1sUEsFBgAAAAAEAAQA8wAAAP0FAAAAAA==&#10;" fillcolor="#4f81bd [3204]" strokecolor="#243f60 [1604]" strokeweight="2pt">
                <v:fill opacity="14392f"/>
              </v:rect>
            </w:pict>
          </mc:Fallback>
        </mc:AlternateContent>
      </w:r>
      <w:r w:rsidR="00EF1B0F">
        <w:rPr>
          <w:rFonts w:ascii="Palatino Linotype" w:hAnsi="Palatino Linotype"/>
        </w:rPr>
        <w:t xml:space="preserve">Con el fin de validar el modelo presentado en el </w:t>
      </w:r>
      <w:r w:rsidR="00EF1B0F">
        <w:rPr>
          <w:rFonts w:ascii="Palatino Linotype" w:hAnsi="Palatino Linotype"/>
          <w:b/>
          <w:i/>
        </w:rPr>
        <w:t>grafico 2</w:t>
      </w:r>
      <w:r w:rsidR="003554C1">
        <w:rPr>
          <w:rFonts w:ascii="Palatino Linotype" w:hAnsi="Palatino Linotype"/>
          <w:b/>
          <w:i/>
        </w:rPr>
        <w:t>,</w:t>
      </w:r>
      <w:r w:rsidR="00EF1B0F">
        <w:rPr>
          <w:rFonts w:ascii="Palatino Linotype" w:hAnsi="Palatino Linotype"/>
        </w:rPr>
        <w:t xml:space="preserve"> se requiere diferenciar dos componentes del rendimiento de la acción: el componente macroeconómico</w:t>
      </w:r>
      <w:r>
        <w:rPr>
          <w:rFonts w:ascii="Palatino Linotype" w:hAnsi="Palatino Linotype"/>
        </w:rPr>
        <w:t xml:space="preserve"> (</w:t>
      </w:r>
      <w:r w:rsidRPr="00EE4499">
        <w:rPr>
          <w:rFonts w:ascii="Palatino Linotype" w:hAnsi="Palatino Linotype"/>
        </w:rPr>
        <w:t>Chen et. al., 1986; Gan et. al.,</w:t>
      </w:r>
      <w:r>
        <w:rPr>
          <w:rFonts w:ascii="Palatino Linotype" w:hAnsi="Palatino Linotype"/>
        </w:rPr>
        <w:t xml:space="preserve"> 2006; Humpe y Macmillan, 2009; Dhakal et. al., 1993</w:t>
      </w:r>
      <w:r w:rsidRPr="00EE4499">
        <w:rPr>
          <w:rFonts w:ascii="Palatino Linotype" w:hAnsi="Palatino Linotype"/>
        </w:rPr>
        <w:t>; Ca</w:t>
      </w:r>
      <w:r w:rsidR="00A857C0">
        <w:rPr>
          <w:rFonts w:ascii="Palatino Linotype" w:hAnsi="Palatino Linotype"/>
        </w:rPr>
        <w:t>stillo y Salas, 2012</w:t>
      </w:r>
      <w:r>
        <w:rPr>
          <w:rFonts w:ascii="Palatino Linotype" w:hAnsi="Palatino Linotype"/>
        </w:rPr>
        <w:t>)</w:t>
      </w:r>
      <w:r w:rsidR="00EF1B0F">
        <w:rPr>
          <w:rFonts w:ascii="Palatino Linotype" w:hAnsi="Palatino Linotype"/>
        </w:rPr>
        <w:t xml:space="preserve"> y el componente socio-pol</w:t>
      </w:r>
      <w:r>
        <w:rPr>
          <w:rFonts w:ascii="Palatino Linotype" w:hAnsi="Palatino Linotype"/>
        </w:rPr>
        <w:t xml:space="preserve">ítico. </w:t>
      </w:r>
      <w:r w:rsidR="00EF1B0F">
        <w:rPr>
          <w:rFonts w:ascii="Palatino Linotype" w:hAnsi="Palatino Linotype"/>
        </w:rPr>
        <w:t xml:space="preserve">La razón principal por la que se hace dicha diferenciación es que se desea estudiar el componente socio-político en función de variables </w:t>
      </w:r>
      <w:r>
        <w:rPr>
          <w:rFonts w:ascii="Palatino Linotype" w:hAnsi="Palatino Linotype"/>
        </w:rPr>
        <w:t>relacionadas al conflicto social. De no tener dicha separación podríamos confundir efectos de variables socio-políticas (en este caso de conflicto social) con efectos de las variables macroeconómicas.</w:t>
      </w:r>
    </w:p>
    <w:p w14:paraId="219E49A7" w14:textId="77777777" w:rsidR="00734BFB" w:rsidRDefault="00FA44D6" w:rsidP="00734BFB">
      <w:pPr>
        <w:spacing w:after="0" w:line="240" w:lineRule="auto"/>
        <w:rPr>
          <w:rFonts w:ascii="Palatino Linotype" w:hAnsi="Palatino Linotype"/>
        </w:rP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F(Variables_macroeconómicas</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t</m:t>
              </m:r>
            </m:sub>
          </m:sSub>
        </m:oMath>
      </m:oMathPara>
    </w:p>
    <w:p w14:paraId="507C45E3" w14:textId="77777777" w:rsidR="00734BFB" w:rsidRDefault="00734BFB" w:rsidP="00734BFB">
      <w:pPr>
        <w:jc w:val="both"/>
        <w:rPr>
          <w:rFonts w:ascii="Palatino Linotype" w:hAnsi="Palatino Linotype"/>
        </w:rPr>
      </w:pPr>
      <w:r>
        <w:rPr>
          <w:rFonts w:ascii="Palatino Linotype" w:hAnsi="Palatino Linotype"/>
          <w:noProof/>
          <w:lang w:val="es-PE"/>
        </w:rPr>
        <mc:AlternateContent>
          <mc:Choice Requires="wps">
            <w:drawing>
              <wp:anchor distT="0" distB="0" distL="114300" distR="114300" simplePos="0" relativeHeight="251709440" behindDoc="0" locked="0" layoutInCell="1" allowOverlap="1" wp14:anchorId="5B01D357" wp14:editId="70159BFA">
                <wp:simplePos x="0" y="0"/>
                <wp:positionH relativeFrom="column">
                  <wp:posOffset>3517265</wp:posOffset>
                </wp:positionH>
                <wp:positionV relativeFrom="paragraph">
                  <wp:posOffset>60960</wp:posOffset>
                </wp:positionV>
                <wp:extent cx="1098550" cy="355600"/>
                <wp:effectExtent l="0" t="0" r="0" b="6350"/>
                <wp:wrapNone/>
                <wp:docPr id="7" name="7 Cuadro de texto"/>
                <wp:cNvGraphicFramePr/>
                <a:graphic xmlns:a="http://schemas.openxmlformats.org/drawingml/2006/main">
                  <a:graphicData uri="http://schemas.microsoft.com/office/word/2010/wordprocessingShape">
                    <wps:wsp>
                      <wps:cNvSpPr txBox="1"/>
                      <wps:spPr>
                        <a:xfrm>
                          <a:off x="0" y="0"/>
                          <a:ext cx="109855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5C395" w14:textId="77777777" w:rsidR="001C045B" w:rsidRPr="00391617" w:rsidRDefault="001C045B" w:rsidP="00734BFB">
                            <w:pPr>
                              <w:spacing w:line="240" w:lineRule="auto"/>
                              <w:jc w:val="center"/>
                              <w:rPr>
                                <w:color w:val="FF0000"/>
                                <w:sz w:val="16"/>
                                <w:szCs w:val="16"/>
                              </w:rPr>
                            </w:pPr>
                            <w:r w:rsidRPr="00391617">
                              <w:rPr>
                                <w:color w:val="FF0000"/>
                                <w:sz w:val="16"/>
                                <w:szCs w:val="16"/>
                              </w:rPr>
                              <w:t>Componente</w:t>
                            </w:r>
                            <w:r>
                              <w:rPr>
                                <w:color w:val="FF0000"/>
                                <w:sz w:val="16"/>
                                <w:szCs w:val="16"/>
                              </w:rPr>
                              <w:t xml:space="preserve"> socio-político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D357" id="7 Cuadro de texto" o:spid="_x0000_s1034" type="#_x0000_t202" style="position:absolute;left:0;text-align:left;margin-left:276.95pt;margin-top:4.8pt;width:86.5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U7hQIAAHAFAAAOAAAAZHJzL2Uyb0RvYy54bWysVEtPGzEQvlfqf7B8L5sA4RGxQWkQVSUE&#10;qFBxdrw2WdX2uGMnu+mvZ+zdDSnthaqX3bHnm/F887q4bK1hG4WhBlfy8cGIM+UkVLV7Lvn3x+tP&#10;Z5yFKFwlDDhV8q0K/HL28cNF46fqEFZgKoWMnLgwbXzJVzH6aVEEuVJWhAPwypFSA1oR6YjPRYWi&#10;Ie/WFIej0UnRAFYeQaoQ6PaqU/JZ9q+1kvFO66AiMyWn2GL+Yv4u07eYXYjpMwq/qmUfhviHKKyo&#10;HT26c3UlomBrrP9wZWuJEEDHAwm2AK1rqTIHYjMevWHzsBJeZS6UnOB3aQr/z6283dwjq6uSn3Lm&#10;hKUSnbLFWlQIrFIsqjZCSlLjw5SwD57Qsf0MLRV7uA90mbi3Gm36EytGekr3dpdi8sNkMhqdn00m&#10;pJKkO5pMTka5BsWrtccQvyiwLAklRyphzqzY3IRIkRB0gKTHHFzXxuQyGseakp8ckfvfNGRhXLpR&#10;uSF6N4lRF3mW4taohDHum9KUkEwgXeRWVAuDbCOoiYSUysXMPfsldEJpCuI9hj3+Nar3GHc8hpfB&#10;xZ2xrR1gZv8m7OrHELLu8JTIPd5JjO2yzZ0wGQq7hGpL9UboxiZ4eV1TUW5EiPcCaU6ojjT78Y4+&#10;2gAlH3qJsxXgr7/dJzy1L2k5a2juSh5+rgUqzsxXR419Pj4+ToOaD8eT00M64L5mua9xa7sAqsqY&#10;toyXWUz4aAZRI9gnWhHz9CqphJP0dsnjIC5itw1oxUg1n2cQjaYX8cY9eJlcpyKllntsnwT6vi/T&#10;ZNzCMKFi+qY9O2yydDBfR9B17t2U5y6rff5prHNL9yso7Y39c0a9LsrZCwAAAP//AwBQSwMEFAAG&#10;AAgAAAAhALmLgyfgAAAACAEAAA8AAABkcnMvZG93bnJldi54bWxMjzFPwzAUhHck/oP1kNioQ1BM&#10;m8apqkgVEoKhpQubE78mUe3nELtt4NdjpjKe7nT3XbGarGFnHH3vSMLjLAGG1DjdUyth/7F5mAPz&#10;QZFWxhFK+EYPq/L2plC5dhfa4nkXWhZLyOdKQhfCkHPumw6t8jM3IEXv4EarQpRjy/WoLrHcGp4m&#10;ieBW9RQXOjVg1WFz3J2shNdq8662dWrnP6Z6eTush6/9Zybl/d20XgILOIVrGP7wIzqUkal2J9Ke&#10;GQlZ9rSIUQkLASz6z6mIupYgMgG8LPj/A+UvAAAA//8DAFBLAQItABQABgAIAAAAIQC2gziS/gAA&#10;AOEBAAATAAAAAAAAAAAAAAAAAAAAAABbQ29udGVudF9UeXBlc10ueG1sUEsBAi0AFAAGAAgAAAAh&#10;ADj9If/WAAAAlAEAAAsAAAAAAAAAAAAAAAAALwEAAF9yZWxzLy5yZWxzUEsBAi0AFAAGAAgAAAAh&#10;AIRahTuFAgAAcAUAAA4AAAAAAAAAAAAAAAAALgIAAGRycy9lMm9Eb2MueG1sUEsBAi0AFAAGAAgA&#10;AAAhALmLgyfgAAAACAEAAA8AAAAAAAAAAAAAAAAA3wQAAGRycy9kb3ducmV2LnhtbFBLBQYAAAAA&#10;BAAEAPMAAADsBQAAAAA=&#10;" filled="f" stroked="f" strokeweight=".5pt">
                <v:textbox>
                  <w:txbxContent>
                    <w:p w14:paraId="3155C395" w14:textId="77777777" w:rsidR="001C045B" w:rsidRPr="00391617" w:rsidRDefault="001C045B" w:rsidP="00734BFB">
                      <w:pPr>
                        <w:spacing w:line="240" w:lineRule="auto"/>
                        <w:jc w:val="center"/>
                        <w:rPr>
                          <w:color w:val="FF0000"/>
                          <w:sz w:val="16"/>
                          <w:szCs w:val="16"/>
                        </w:rPr>
                      </w:pPr>
                      <w:r w:rsidRPr="00391617">
                        <w:rPr>
                          <w:color w:val="FF0000"/>
                          <w:sz w:val="16"/>
                          <w:szCs w:val="16"/>
                        </w:rPr>
                        <w:t>Componente</w:t>
                      </w:r>
                      <w:r>
                        <w:rPr>
                          <w:color w:val="FF0000"/>
                          <w:sz w:val="16"/>
                          <w:szCs w:val="16"/>
                        </w:rPr>
                        <w:t xml:space="preserve"> socio-político</w:t>
                      </w:r>
                    </w:p>
                  </w:txbxContent>
                </v:textbox>
              </v:shape>
            </w:pict>
          </mc:Fallback>
        </mc:AlternateContent>
      </w:r>
      <w:r>
        <w:rPr>
          <w:rFonts w:ascii="Palatino Linotype" w:hAnsi="Palatino Linotype"/>
          <w:noProof/>
          <w:lang w:val="es-PE"/>
        </w:rPr>
        <mc:AlternateContent>
          <mc:Choice Requires="wps">
            <w:drawing>
              <wp:anchor distT="0" distB="0" distL="114300" distR="114300" simplePos="0" relativeHeight="251708416" behindDoc="0" locked="0" layoutInCell="1" allowOverlap="1" wp14:anchorId="080DAAD4" wp14:editId="0F5F34CD">
                <wp:simplePos x="0" y="0"/>
                <wp:positionH relativeFrom="column">
                  <wp:posOffset>2069465</wp:posOffset>
                </wp:positionH>
                <wp:positionV relativeFrom="paragraph">
                  <wp:posOffset>51435</wp:posOffset>
                </wp:positionV>
                <wp:extent cx="1098550" cy="4000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0985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0D4F" w14:textId="77777777" w:rsidR="001C045B" w:rsidRPr="00391617" w:rsidRDefault="001C045B" w:rsidP="00734BFB">
                            <w:pPr>
                              <w:jc w:val="center"/>
                              <w:rPr>
                                <w:color w:val="FF0000"/>
                                <w:sz w:val="16"/>
                                <w:szCs w:val="16"/>
                              </w:rPr>
                            </w:pPr>
                            <w:r w:rsidRPr="00391617">
                              <w:rPr>
                                <w:color w:val="FF0000"/>
                                <w:sz w:val="16"/>
                                <w:szCs w:val="16"/>
                              </w:rPr>
                              <w:t>Componente</w:t>
                            </w:r>
                            <w:r>
                              <w:rPr>
                                <w:color w:val="FF0000"/>
                                <w:sz w:val="16"/>
                                <w:szCs w:val="16"/>
                              </w:rPr>
                              <w:t xml:space="preserve"> macroeconómico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AAD4" id="1 Cuadro de texto" o:spid="_x0000_s1035" type="#_x0000_t202" style="position:absolute;left:0;text-align:left;margin-left:162.95pt;margin-top:4.05pt;width:86.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ogQIAAHAFAAAOAAAAZHJzL2Uyb0RvYy54bWysVN9v2yAQfp+0/wHxvtjpkq614lRZqkyT&#10;qrZaOvWZYGisAceAxM7++h7YTrNuL532Yh93333cT2ZXrVZkL5yvwZR0PMopEYZDVZunkn5/WH24&#10;oMQHZiqmwIiSHoSnV/P372aNLcQZbEFVwhEkMb5obEm3IdgiyzzfCs38CKwwaJTgNAt4dE9Z5ViD&#10;7FplZ3l+njXgKuuAC+9Re90Z6TzxSyl4uJPSi0BUSTG2kL4ufTfxm81nrHhyzG5r3ofB/iEKzWqD&#10;lx6prllgZOfqP6h0zR14kGHEQWcgZc1FygGzGeevsllvmRUpFyyOt8cy+f9Hy2/3947UFfaOEsM0&#10;tmhMljtWOSCVIEG0AWKRGusLxK4tokP7Gdro0Os9KmPurXQ6/jErgnYs9+FYYuQhPDrllxfTKZo4&#10;2iZ5nqOMNNmLt3U+fBGgSRRK6rCFqbJsf+NDBx0g8TIDq1op1LNCGdKU9PwjUv5mQXJlokakgehp&#10;YkZd5EkKByU6km9CYkFSAlGRRlEslSN7hkPEOBcmpNwTL6IjSmIQb3Hs8S9RvcW5y2O4GUw4Ouva&#10;gEvZvwq7+jGELDs81vwk7yiGdtOmSTgfGruB6oD9dtCtjbd8VWNTbpgP98zhnmAfcffDHX6kAiw+&#10;9BIlW3C//qaPeBxftFLS4N6V1P/cMScoUV8NDvbleDKJi5oOk+mnMzy4U8vm1GJ2egnYFRxejC6J&#10;ER/UIEoH+hGfiEW8FU3McLy7pGEQl6F7DfCJ4WKxSCBcTcvCjVlbHqljk+LIPbSPzNl+LuNm3MKw&#10;oax4NZ4dNnoaWOwCyDrNbqxzV9W+/rjWafr7Jyi+G6fnhHp5KOfPAAAA//8DAFBLAwQUAAYACAAA&#10;ACEAMiqY3OAAAAAIAQAADwAAAGRycy9kb3ducmV2LnhtbEyPQU+DQBSE7yb+h80z8WYX0CpFHk1D&#10;0pg0emjtxdvCvgKR3UV222J/vc+THiczmfkmX06mFycafecsQjyLQJCtne5sg7B/X9+lIHxQVqve&#10;WUL4Jg/L4voqV5l2Z7ul0y40gkuszxRCG8KQSenrlozyMzeQZe/gRqMCy7GRelRnLje9TKLoURrV&#10;WV5o1UBlS/Xn7mgQNuX6TW2rxKSXvnx5PayGr/3HHPH2Zlo9gwg0hb8w/OIzOhTMVLmj1V70CPfJ&#10;fMFRhDQGwf7DImVdITzFMcgil/8PFD8AAAD//wMAUEsBAi0AFAAGAAgAAAAhALaDOJL+AAAA4QEA&#10;ABMAAAAAAAAAAAAAAAAAAAAAAFtDb250ZW50X1R5cGVzXS54bWxQSwECLQAUAAYACAAAACEAOP0h&#10;/9YAAACUAQAACwAAAAAAAAAAAAAAAAAvAQAAX3JlbHMvLnJlbHNQSwECLQAUAAYACAAAACEAaOIv&#10;qIECAABwBQAADgAAAAAAAAAAAAAAAAAuAgAAZHJzL2Uyb0RvYy54bWxQSwECLQAUAAYACAAAACEA&#10;MiqY3OAAAAAIAQAADwAAAAAAAAAAAAAAAADbBAAAZHJzL2Rvd25yZXYueG1sUEsFBgAAAAAEAAQA&#10;8wAAAOgFAAAAAA==&#10;" filled="f" stroked="f" strokeweight=".5pt">
                <v:textbox>
                  <w:txbxContent>
                    <w:p w14:paraId="3A2B0D4F" w14:textId="77777777" w:rsidR="001C045B" w:rsidRPr="00391617" w:rsidRDefault="001C045B" w:rsidP="00734BFB">
                      <w:pPr>
                        <w:jc w:val="center"/>
                        <w:rPr>
                          <w:color w:val="FF0000"/>
                          <w:sz w:val="16"/>
                          <w:szCs w:val="16"/>
                        </w:rPr>
                      </w:pPr>
                      <w:r w:rsidRPr="00391617">
                        <w:rPr>
                          <w:color w:val="FF0000"/>
                          <w:sz w:val="16"/>
                          <w:szCs w:val="16"/>
                        </w:rPr>
                        <w:t>Componente</w:t>
                      </w:r>
                      <w:r>
                        <w:rPr>
                          <w:color w:val="FF0000"/>
                          <w:sz w:val="16"/>
                          <w:szCs w:val="16"/>
                        </w:rPr>
                        <w:t xml:space="preserve"> macroeconómico</w:t>
                      </w:r>
                    </w:p>
                  </w:txbxContent>
                </v:textbox>
              </v:shape>
            </w:pict>
          </mc:Fallback>
        </mc:AlternateContent>
      </w:r>
    </w:p>
    <w:p w14:paraId="4A91F479" w14:textId="77777777" w:rsidR="00734BFB" w:rsidRDefault="00734BFB" w:rsidP="00734BFB">
      <w:pPr>
        <w:jc w:val="both"/>
        <w:rPr>
          <w:rFonts w:ascii="Palatino Linotype" w:hAnsi="Palatino Linotype"/>
        </w:rPr>
      </w:pPr>
    </w:p>
    <w:p w14:paraId="5C5CAC15" w14:textId="77777777" w:rsidR="00734BFB" w:rsidRDefault="00734BFB" w:rsidP="00734BFB">
      <w:pPr>
        <w:jc w:val="both"/>
        <w:rPr>
          <w:rFonts w:ascii="Palatino Linotype" w:hAnsi="Palatino Linotype"/>
          <w:b/>
          <w:i/>
        </w:rPr>
      </w:pPr>
      <w:r>
        <w:rPr>
          <w:rFonts w:ascii="Palatino Linotype" w:hAnsi="Palatino Linotype"/>
        </w:rPr>
        <w:t xml:space="preserve">Donde </w:t>
      </w:r>
      <m:oMath>
        <m:sSub>
          <m:sSubPr>
            <m:ctrlPr>
              <w:rPr>
                <w:rFonts w:ascii="Cambria Math" w:hAnsi="Cambria Math"/>
                <w:i/>
              </w:rPr>
            </m:ctrlPr>
          </m:sSubPr>
          <m:e>
            <m:r>
              <w:rPr>
                <w:rFonts w:ascii="Cambria Math" w:hAnsi="Cambria Math"/>
              </w:rPr>
              <m:t>R</m:t>
            </m:r>
          </m:e>
          <m:sub>
            <m:r>
              <w:rPr>
                <w:rFonts w:ascii="Cambria Math" w:hAnsi="Cambria Math"/>
              </w:rPr>
              <m:t>t</m:t>
            </m:r>
          </m:sub>
        </m:sSub>
      </m:oMath>
      <w:r>
        <w:rPr>
          <w:rFonts w:ascii="Palatino Linotype" w:hAnsi="Palatino Linotype"/>
        </w:rPr>
        <w:t xml:space="preserve"> es el rendimiento anual del precio promedio de las acciones de 20 empresas mineras listadas en la  BVL.</w:t>
      </w:r>
    </w:p>
    <w:p w14:paraId="6A429192" w14:textId="5AE71A53" w:rsidR="00734BFB" w:rsidRDefault="003E7F7B" w:rsidP="00734BFB">
      <w:pPr>
        <w:jc w:val="both"/>
        <w:rPr>
          <w:rFonts w:ascii="Palatino Linotype" w:hAnsi="Palatino Linotype"/>
        </w:rPr>
      </w:pPr>
      <w:r w:rsidRPr="001C3ACE">
        <w:rPr>
          <w:rFonts w:ascii="Palatino Linotype" w:hAnsi="Palatino Linotype"/>
          <w:color w:val="000000" w:themeColor="text1"/>
        </w:rPr>
        <w:t>El procedimiento para validar el modelo es de tipo “stepwise” o paso a paso, que consiste en el análisis de como mejora el modelo por la inclusión de variables significativas</w:t>
      </w:r>
      <w:r w:rsidRPr="001C3ACE">
        <w:t>.</w:t>
      </w:r>
      <w:r>
        <w:t xml:space="preserve"> Así, l</w:t>
      </w:r>
      <w:r w:rsidR="00734BFB" w:rsidRPr="002F17E4">
        <w:rPr>
          <w:rFonts w:ascii="Palatino Linotype" w:hAnsi="Palatino Linotype"/>
          <w:color w:val="000000" w:themeColor="text1"/>
        </w:rPr>
        <w:t>a validación del modelo consta de dos etapas. La primera etapa consiste en separar el componente macroeconómico y socio-político del rendimiento de la acción. La segunda, consiste en evaluar qué factores relacionados al conflicto social explican dicho componente socio-político</w:t>
      </w:r>
      <w:r w:rsidR="00734BFB" w:rsidRPr="00746FA8">
        <w:rPr>
          <w:rFonts w:ascii="Palatino Linotype" w:hAnsi="Palatino Linotype"/>
        </w:rPr>
        <w:t xml:space="preserve">. </w:t>
      </w:r>
    </w:p>
    <w:p w14:paraId="16D7761E" w14:textId="77777777" w:rsidR="00734BFB" w:rsidRDefault="00734BFB" w:rsidP="00734BFB">
      <w:pPr>
        <w:jc w:val="both"/>
        <w:rPr>
          <w:rFonts w:ascii="Palatino Linotype" w:hAnsi="Palatino Linotype"/>
        </w:rPr>
      </w:pPr>
      <w:r w:rsidRPr="00CE1CD9">
        <w:rPr>
          <w:rFonts w:ascii="Palatino Linotype" w:hAnsi="Palatino Linotype"/>
          <w:b/>
        </w:rPr>
        <w:t>En la primera etapa</w:t>
      </w:r>
      <w:r>
        <w:rPr>
          <w:rFonts w:ascii="Palatino Linotype" w:hAnsi="Palatino Linotype"/>
          <w:b/>
        </w:rPr>
        <w:t>:</w:t>
      </w:r>
      <w:r>
        <w:rPr>
          <w:rFonts w:ascii="Palatino Linotype" w:hAnsi="Palatino Linotype"/>
        </w:rPr>
        <w:t xml:space="preserve"> Se procede a realizar las regresiones lineales univariadas; es decir, el rendimiento en función de una sola variable macroeconómica. Por ejemplo, en el modelo 1 se busca explicar el rendimiento en función del PBI; el modelo 2 la misma variable endógena (rendimiento) en función de la inflación; y el modelo tres considera a los </w:t>
      </w:r>
      <w:r>
        <w:rPr>
          <w:rFonts w:ascii="Palatino Linotype" w:hAnsi="Palatino Linotype"/>
        </w:rPr>
        <w:lastRenderedPageBreak/>
        <w:t>términos de intercambio. El modelo 4 considera a la inflación y a los TI solo para verificar la multicolinealidad entre ambas variables.</w:t>
      </w:r>
    </w:p>
    <w:p w14:paraId="62DB1BD6" w14:textId="77777777" w:rsidR="00734BFB" w:rsidRDefault="00734BFB" w:rsidP="00734BFB">
      <w:pPr>
        <w:jc w:val="both"/>
        <w:rPr>
          <w:rFonts w:ascii="Palatino Linotype" w:hAnsi="Palatino Linotype"/>
        </w:rPr>
      </w:pPr>
      <w:r>
        <w:rPr>
          <w:rFonts w:ascii="Palatino Linotype" w:hAnsi="Palatino Linotype"/>
        </w:rPr>
        <w:t xml:space="preserve">El objetivo de las regresiones univariadas es verificar si la variable explicativa (macroeconómica) en sí misma aporta información para explicar el comportamiento del rendimiento. En este análisis tres indicadores son importante: el primero es el R2, el cual indica poder de ajuste del modelo (en este caso de la única variable explicativa). El segundo es el </w:t>
      </w:r>
      <w:r>
        <w:rPr>
          <w:rFonts w:ascii="Palatino Linotype" w:hAnsi="Palatino Linotype"/>
          <w:i/>
        </w:rPr>
        <w:t>p-value</w:t>
      </w:r>
      <w:r>
        <w:rPr>
          <w:rFonts w:ascii="Palatino Linotype" w:hAnsi="Palatino Linotype"/>
        </w:rPr>
        <w:t>, el cual deberá ser menor al nivel de significancia (0.05); este indicador sugiere que el coeficiente estimado es diferente de cero. Finalmente, el signo del coeficiente estimado que debe de mantener la intuición económica y estar en línea con estudios previos.</w:t>
      </w:r>
    </w:p>
    <w:p w14:paraId="2EA09186" w14:textId="4CBE8998" w:rsidR="00734BFB" w:rsidRPr="00CE453C" w:rsidRDefault="00734BFB" w:rsidP="00734BFB">
      <w:pPr>
        <w:jc w:val="both"/>
        <w:rPr>
          <w:rFonts w:ascii="Palatino Linotype" w:hAnsi="Palatino Linotype"/>
        </w:rPr>
      </w:pPr>
      <w:r>
        <w:rPr>
          <w:rFonts w:ascii="Palatino Linotype" w:hAnsi="Palatino Linotype"/>
        </w:rPr>
        <w:t xml:space="preserve">De los resultados de las regresiones univariadas (ver </w:t>
      </w:r>
      <w:r w:rsidRPr="002F17E4">
        <w:rPr>
          <w:rFonts w:ascii="Palatino Linotype" w:hAnsi="Palatino Linotype"/>
          <w:b/>
          <w:i/>
        </w:rPr>
        <w:t>modelo 1</w:t>
      </w:r>
      <w:r>
        <w:rPr>
          <w:rFonts w:ascii="Palatino Linotype" w:hAnsi="Palatino Linotype"/>
        </w:rPr>
        <w:t xml:space="preserve"> al </w:t>
      </w:r>
      <w:r w:rsidRPr="002F17E4">
        <w:rPr>
          <w:rFonts w:ascii="Palatino Linotype" w:hAnsi="Palatino Linotype"/>
          <w:b/>
          <w:i/>
        </w:rPr>
        <w:t xml:space="preserve">modelo </w:t>
      </w:r>
      <w:r w:rsidR="0040437B">
        <w:rPr>
          <w:rFonts w:ascii="Palatino Linotype" w:hAnsi="Palatino Linotype"/>
          <w:b/>
          <w:i/>
        </w:rPr>
        <w:t>3</w:t>
      </w:r>
      <w:r>
        <w:rPr>
          <w:rFonts w:ascii="Palatino Linotype" w:hAnsi="Palatino Linotype"/>
        </w:rPr>
        <w:t>) se desprenden tres ideas importantes: la primera es que el PBI, la inflación y los TI son estadísticamente significativos (</w:t>
      </w:r>
      <w:r w:rsidRPr="000D3F55">
        <w:rPr>
          <w:rFonts w:ascii="Palatino Linotype" w:hAnsi="Palatino Linotype"/>
          <w:i/>
        </w:rPr>
        <w:t>p-value &lt; 0.05</w:t>
      </w:r>
      <w:r>
        <w:rPr>
          <w:rFonts w:ascii="Palatino Linotype" w:hAnsi="Palatino Linotype"/>
        </w:rPr>
        <w:t>). La segunda es que los TI tienen un poder de ajuste del modelo alto (R2=0.88) en comparación con el PBI (R2=0.002) y la inflación (R2=0.61). Finalmente, la tercera es que las tres variable</w:t>
      </w:r>
      <w:r w:rsidR="00CE453C">
        <w:rPr>
          <w:rFonts w:ascii="Palatino Linotype" w:hAnsi="Palatino Linotype"/>
        </w:rPr>
        <w:t xml:space="preserve">s muestran el signo correcto. </w:t>
      </w:r>
      <w:r>
        <w:rPr>
          <w:rFonts w:ascii="Palatino Linotype" w:hAnsi="Palatino Linotype"/>
        </w:rPr>
        <w:t xml:space="preserve">Además, el </w:t>
      </w:r>
      <w:r w:rsidRPr="0040437B">
        <w:rPr>
          <w:rFonts w:ascii="Palatino Linotype" w:hAnsi="Palatino Linotype"/>
          <w:b/>
          <w:i/>
        </w:rPr>
        <w:t>modelo 4</w:t>
      </w:r>
      <w:r>
        <w:rPr>
          <w:rFonts w:ascii="Palatino Linotype" w:hAnsi="Palatino Linotype"/>
        </w:rPr>
        <w:t xml:space="preserve"> sugiere que existe multicolinealidad entre la inflación y los TI. Esto se observa en el </w:t>
      </w:r>
      <w:r>
        <w:rPr>
          <w:rFonts w:ascii="Palatino Linotype" w:hAnsi="Palatino Linotype"/>
          <w:i/>
        </w:rPr>
        <w:t>p-value</w:t>
      </w:r>
      <w:r>
        <w:rPr>
          <w:rFonts w:ascii="Palatino Linotype" w:hAnsi="Palatino Linotype"/>
        </w:rPr>
        <w:t xml:space="preserve"> de la inflación (0.54) que supera al nivel de significancia (0.05).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22"/>
      </w:tblGrid>
      <w:tr w:rsidR="00734BFB" w14:paraId="7C547E83" w14:textId="77777777" w:rsidTr="0040437B">
        <w:trPr>
          <w:jc w:val="center"/>
        </w:trPr>
        <w:tc>
          <w:tcPr>
            <w:tcW w:w="4389" w:type="dxa"/>
          </w:tcPr>
          <w:p w14:paraId="60FB7C7F" w14:textId="50C05A0D" w:rsidR="00734BFB" w:rsidRDefault="00734BFB" w:rsidP="00734BFB">
            <w:pPr>
              <w:jc w:val="center"/>
              <w:rPr>
                <w:rFonts w:ascii="Palatino Linotype" w:hAnsi="Palatino Linotype"/>
                <w:b/>
              </w:rPr>
            </w:pPr>
            <w:r>
              <w:rPr>
                <w:rFonts w:ascii="Palatino Linotype" w:hAnsi="Palatino Linotype"/>
                <w:b/>
              </w:rPr>
              <w:t>Modelo</w:t>
            </w:r>
            <w:r w:rsidR="0040437B">
              <w:rPr>
                <w:rFonts w:ascii="Palatino Linotype" w:hAnsi="Palatino Linotype"/>
                <w:b/>
              </w:rPr>
              <w:t xml:space="preserve"> </w:t>
            </w:r>
            <w:r>
              <w:rPr>
                <w:rFonts w:ascii="Palatino Linotype" w:hAnsi="Palatino Linotype"/>
                <w:b/>
              </w:rPr>
              <w:t>1</w:t>
            </w:r>
          </w:p>
          <w:p w14:paraId="2AE40488" w14:textId="77777777" w:rsidR="00734BFB" w:rsidRPr="00B14C72" w:rsidRDefault="00734BFB" w:rsidP="00734BFB">
            <w:pPr>
              <w:jc w:val="center"/>
              <w:rPr>
                <w:rFonts w:ascii="Palatino Linotype" w:hAnsi="Palatino Linotype"/>
                <w:b/>
                <w:i/>
              </w:rPr>
            </w:pPr>
            <w:r w:rsidRPr="00B14C72">
              <w:rPr>
                <w:rFonts w:ascii="Palatino Linotype" w:hAnsi="Palatino Linotype"/>
                <w:b/>
                <w:i/>
              </w:rPr>
              <w:t>Rendimiento-PBI</w:t>
            </w:r>
          </w:p>
        </w:tc>
        <w:tc>
          <w:tcPr>
            <w:tcW w:w="4322" w:type="dxa"/>
          </w:tcPr>
          <w:p w14:paraId="088E9A92" w14:textId="7E4B841A" w:rsidR="00734BFB" w:rsidRDefault="00734BFB" w:rsidP="00734BFB">
            <w:pPr>
              <w:jc w:val="center"/>
              <w:rPr>
                <w:rFonts w:ascii="Palatino Linotype" w:hAnsi="Palatino Linotype"/>
                <w:b/>
              </w:rPr>
            </w:pPr>
            <w:r>
              <w:rPr>
                <w:rFonts w:ascii="Palatino Linotype" w:hAnsi="Palatino Linotype"/>
                <w:b/>
              </w:rPr>
              <w:t>Modelo</w:t>
            </w:r>
            <w:r w:rsidR="0040437B">
              <w:rPr>
                <w:rFonts w:ascii="Palatino Linotype" w:hAnsi="Palatino Linotype"/>
                <w:b/>
              </w:rPr>
              <w:t xml:space="preserve"> </w:t>
            </w:r>
            <w:r>
              <w:rPr>
                <w:rFonts w:ascii="Palatino Linotype" w:hAnsi="Palatino Linotype"/>
                <w:b/>
              </w:rPr>
              <w:t>2</w:t>
            </w:r>
          </w:p>
          <w:p w14:paraId="61CC7940" w14:textId="77777777" w:rsidR="00734BFB" w:rsidRDefault="00734BFB" w:rsidP="00734BFB">
            <w:pPr>
              <w:jc w:val="center"/>
              <w:rPr>
                <w:rFonts w:ascii="Palatino Linotype" w:hAnsi="Palatino Linotype"/>
              </w:rPr>
            </w:pPr>
            <w:r w:rsidRPr="00B14C72">
              <w:rPr>
                <w:rFonts w:ascii="Palatino Linotype" w:hAnsi="Palatino Linotype"/>
                <w:b/>
                <w:i/>
              </w:rPr>
              <w:t>Rendimiento-</w:t>
            </w:r>
            <w:r>
              <w:rPr>
                <w:rFonts w:ascii="Palatino Linotype" w:hAnsi="Palatino Linotype"/>
                <w:b/>
                <w:i/>
              </w:rPr>
              <w:t>Inflación</w:t>
            </w:r>
          </w:p>
        </w:tc>
      </w:tr>
      <w:tr w:rsidR="00734BFB" w14:paraId="1FB85427" w14:textId="77777777" w:rsidTr="0040437B">
        <w:trPr>
          <w:jc w:val="center"/>
        </w:trPr>
        <w:tc>
          <w:tcPr>
            <w:tcW w:w="4389" w:type="dxa"/>
          </w:tcPr>
          <w:p w14:paraId="508667DE" w14:textId="77777777" w:rsidR="00734BFB" w:rsidRDefault="00734BFB" w:rsidP="00734BFB">
            <w:pPr>
              <w:jc w:val="both"/>
              <w:rPr>
                <w:rFonts w:ascii="Palatino Linotype" w:hAnsi="Palatino Linotype"/>
              </w:rPr>
            </w:pPr>
            <w:r>
              <w:object w:dxaOrig="6600" w:dyaOrig="5190" w14:anchorId="151F5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50pt" o:ole="">
                  <v:imagedata r:id="rId10" o:title=""/>
                </v:shape>
                <o:OLEObject Type="Embed" ProgID="PBrush" ShapeID="_x0000_i1025" DrawAspect="Content" ObjectID="_1491559753" r:id="rId11"/>
              </w:object>
            </w:r>
          </w:p>
        </w:tc>
        <w:tc>
          <w:tcPr>
            <w:tcW w:w="4322" w:type="dxa"/>
          </w:tcPr>
          <w:p w14:paraId="4F4B884A" w14:textId="77777777" w:rsidR="00734BFB" w:rsidRDefault="00734BFB" w:rsidP="00734BFB">
            <w:pPr>
              <w:jc w:val="both"/>
              <w:rPr>
                <w:rFonts w:ascii="Palatino Linotype" w:hAnsi="Palatino Linotype"/>
              </w:rPr>
            </w:pPr>
            <w:r>
              <w:object w:dxaOrig="6585" w:dyaOrig="5220" w14:anchorId="6E50339B">
                <v:shape id="_x0000_i1026" type="#_x0000_t75" style="width:181.5pt;height:144.75pt" o:ole="">
                  <v:imagedata r:id="rId12" o:title=""/>
                </v:shape>
                <o:OLEObject Type="Embed" ProgID="PBrush" ShapeID="_x0000_i1026" DrawAspect="Content" ObjectID="_1491559754" r:id="rId13"/>
              </w:object>
            </w:r>
          </w:p>
        </w:tc>
      </w:tr>
      <w:tr w:rsidR="00734BFB" w14:paraId="228E02FC" w14:textId="77777777" w:rsidTr="0040437B">
        <w:trPr>
          <w:jc w:val="center"/>
        </w:trPr>
        <w:tc>
          <w:tcPr>
            <w:tcW w:w="4389" w:type="dxa"/>
          </w:tcPr>
          <w:p w14:paraId="7D812AC4" w14:textId="3217E26A" w:rsidR="00734BFB" w:rsidRDefault="00734BFB" w:rsidP="00734BFB">
            <w:pPr>
              <w:jc w:val="center"/>
              <w:rPr>
                <w:rFonts w:ascii="Palatino Linotype" w:hAnsi="Palatino Linotype"/>
                <w:b/>
              </w:rPr>
            </w:pPr>
            <w:r>
              <w:rPr>
                <w:rFonts w:ascii="Palatino Linotype" w:hAnsi="Palatino Linotype"/>
                <w:b/>
              </w:rPr>
              <w:t>Modelo</w:t>
            </w:r>
            <w:r w:rsidR="0040437B">
              <w:rPr>
                <w:rFonts w:ascii="Palatino Linotype" w:hAnsi="Palatino Linotype"/>
                <w:b/>
              </w:rPr>
              <w:t xml:space="preserve"> </w:t>
            </w:r>
            <w:r>
              <w:rPr>
                <w:rFonts w:ascii="Palatino Linotype" w:hAnsi="Palatino Linotype"/>
                <w:b/>
              </w:rPr>
              <w:t>3</w:t>
            </w:r>
          </w:p>
          <w:p w14:paraId="5F528FCC" w14:textId="77777777" w:rsidR="00734BFB" w:rsidRDefault="00734BFB" w:rsidP="00734BFB">
            <w:pPr>
              <w:jc w:val="center"/>
              <w:rPr>
                <w:rFonts w:ascii="Palatino Linotype" w:hAnsi="Palatino Linotype"/>
              </w:rPr>
            </w:pPr>
            <w:r w:rsidRPr="00B14C72">
              <w:rPr>
                <w:rFonts w:ascii="Palatino Linotype" w:hAnsi="Palatino Linotype"/>
                <w:b/>
                <w:i/>
              </w:rPr>
              <w:t>Rendimiento-</w:t>
            </w:r>
            <w:r>
              <w:rPr>
                <w:rFonts w:ascii="Palatino Linotype" w:hAnsi="Palatino Linotype"/>
                <w:b/>
                <w:i/>
              </w:rPr>
              <w:t>TI</w:t>
            </w:r>
          </w:p>
        </w:tc>
        <w:tc>
          <w:tcPr>
            <w:tcW w:w="4322" w:type="dxa"/>
          </w:tcPr>
          <w:p w14:paraId="7D6362D7" w14:textId="5955D7D8" w:rsidR="00734BFB" w:rsidRDefault="00734BFB" w:rsidP="00734BFB">
            <w:pPr>
              <w:jc w:val="center"/>
              <w:rPr>
                <w:rFonts w:ascii="Palatino Linotype" w:hAnsi="Palatino Linotype"/>
                <w:b/>
              </w:rPr>
            </w:pPr>
            <w:r>
              <w:rPr>
                <w:rFonts w:ascii="Palatino Linotype" w:hAnsi="Palatino Linotype"/>
                <w:b/>
              </w:rPr>
              <w:t>Modelo</w:t>
            </w:r>
            <w:r w:rsidR="0040437B">
              <w:rPr>
                <w:rFonts w:ascii="Palatino Linotype" w:hAnsi="Palatino Linotype"/>
                <w:b/>
              </w:rPr>
              <w:t xml:space="preserve"> </w:t>
            </w:r>
            <w:r>
              <w:rPr>
                <w:rFonts w:ascii="Palatino Linotype" w:hAnsi="Palatino Linotype"/>
                <w:b/>
              </w:rPr>
              <w:t>4</w:t>
            </w:r>
          </w:p>
          <w:p w14:paraId="68D3DB39" w14:textId="77777777" w:rsidR="00734BFB" w:rsidRDefault="00734BFB" w:rsidP="00734BFB">
            <w:pPr>
              <w:jc w:val="center"/>
              <w:rPr>
                <w:rFonts w:ascii="Palatino Linotype" w:hAnsi="Palatino Linotype"/>
              </w:rPr>
            </w:pPr>
            <w:r w:rsidRPr="00B14C72">
              <w:rPr>
                <w:rFonts w:ascii="Palatino Linotype" w:hAnsi="Palatino Linotype"/>
                <w:b/>
                <w:i/>
              </w:rPr>
              <w:t>Rendimiento-</w:t>
            </w:r>
            <w:r>
              <w:rPr>
                <w:rFonts w:ascii="Palatino Linotype" w:hAnsi="Palatino Linotype"/>
                <w:b/>
                <w:i/>
              </w:rPr>
              <w:t>TI/Inflación</w:t>
            </w:r>
          </w:p>
        </w:tc>
      </w:tr>
      <w:tr w:rsidR="00734BFB" w14:paraId="5D04E71A" w14:textId="77777777" w:rsidTr="0040437B">
        <w:trPr>
          <w:jc w:val="center"/>
        </w:trPr>
        <w:tc>
          <w:tcPr>
            <w:tcW w:w="4389" w:type="dxa"/>
          </w:tcPr>
          <w:p w14:paraId="3D1538E4" w14:textId="77777777" w:rsidR="00734BFB" w:rsidRDefault="00734BFB" w:rsidP="00734BFB">
            <w:pPr>
              <w:jc w:val="both"/>
              <w:rPr>
                <w:rFonts w:ascii="Palatino Linotype" w:hAnsi="Palatino Linotype"/>
              </w:rPr>
            </w:pPr>
            <w:r>
              <w:object w:dxaOrig="6540" w:dyaOrig="5130" w14:anchorId="15D8A710">
                <v:shape id="_x0000_i1027" type="#_x0000_t75" style="width:208.5pt;height:163.5pt" o:ole="">
                  <v:imagedata r:id="rId14" o:title=""/>
                </v:shape>
                <o:OLEObject Type="Embed" ProgID="PBrush" ShapeID="_x0000_i1027" DrawAspect="Content" ObjectID="_1491559755" r:id="rId15"/>
              </w:object>
            </w:r>
          </w:p>
        </w:tc>
        <w:tc>
          <w:tcPr>
            <w:tcW w:w="4322" w:type="dxa"/>
          </w:tcPr>
          <w:p w14:paraId="72345745" w14:textId="77777777" w:rsidR="00734BFB" w:rsidRDefault="00734BFB" w:rsidP="00734BFB">
            <w:pPr>
              <w:jc w:val="both"/>
              <w:rPr>
                <w:rFonts w:ascii="Palatino Linotype" w:hAnsi="Palatino Linotype"/>
              </w:rPr>
            </w:pPr>
            <w:r>
              <w:object w:dxaOrig="6480" w:dyaOrig="5370" w14:anchorId="338DDDEA">
                <v:shape id="_x0000_i1028" type="#_x0000_t75" style="width:191.25pt;height:159pt" o:ole="">
                  <v:imagedata r:id="rId16" o:title=""/>
                </v:shape>
                <o:OLEObject Type="Embed" ProgID="PBrush" ShapeID="_x0000_i1028" DrawAspect="Content" ObjectID="_1491559756" r:id="rId17"/>
              </w:object>
            </w:r>
          </w:p>
        </w:tc>
      </w:tr>
    </w:tbl>
    <w:p w14:paraId="2022C603" w14:textId="3656D3CC" w:rsidR="00734BFB" w:rsidRDefault="0040437B" w:rsidP="00734BFB">
      <w:pPr>
        <w:jc w:val="both"/>
        <w:rPr>
          <w:rFonts w:ascii="Palatino Linotype" w:hAnsi="Palatino Linotype"/>
        </w:rPr>
      </w:pP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040030BD" w14:textId="73284A92" w:rsidR="00734BFB" w:rsidRDefault="00734BFB" w:rsidP="00734BFB">
      <w:pPr>
        <w:jc w:val="both"/>
        <w:rPr>
          <w:rFonts w:ascii="Palatino Linotype" w:hAnsi="Palatino Linotype"/>
        </w:rPr>
      </w:pPr>
      <w:r>
        <w:rPr>
          <w:rFonts w:ascii="Palatino Linotype" w:hAnsi="Palatino Linotype"/>
        </w:rPr>
        <w:t>Del análisis de regresión univariado se concluye que de las variables macroeconómicas probadas (PBI, Términos de intercambio e inflación), los términos de intercambio (</w:t>
      </w:r>
      <m:oMath>
        <m:sSub>
          <m:sSubPr>
            <m:ctrlPr>
              <w:rPr>
                <w:rFonts w:ascii="Cambria Math" w:hAnsi="Cambria Math"/>
                <w:i/>
              </w:rPr>
            </m:ctrlPr>
          </m:sSubPr>
          <m:e>
            <m:r>
              <w:rPr>
                <w:rFonts w:ascii="Cambria Math" w:hAnsi="Cambria Math"/>
              </w:rPr>
              <m:t>TI</m:t>
            </m:r>
          </m:e>
          <m:sub>
            <m:r>
              <w:rPr>
                <w:rFonts w:ascii="Cambria Math" w:hAnsi="Cambria Math"/>
              </w:rPr>
              <m:t>t</m:t>
            </m:r>
          </m:sub>
        </m:sSub>
      </m:oMath>
      <w:r>
        <w:rPr>
          <w:rFonts w:ascii="Palatino Linotype" w:hAnsi="Palatino Linotype"/>
        </w:rPr>
        <w:t>), ratio entre el precio de las exportaciones y el precio de las importaciones,  resultó ser la variable estadísticamente significativa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=0.88</m:t>
        </m:r>
      </m:oMath>
      <w:r w:rsidRPr="00516007">
        <w:rPr>
          <w:rFonts w:ascii="Palatino Linotype" w:hAnsi="Palatino Linotype"/>
          <w:i/>
        </w:rPr>
        <w:t xml:space="preserve"> y p-value&lt;5%).</w:t>
      </w:r>
      <w:r>
        <w:rPr>
          <w:rFonts w:ascii="Palatino Linotype" w:hAnsi="Palatino Linotype"/>
        </w:rPr>
        <w:t xml:space="preserve"> Además, el signo </w:t>
      </w:r>
      <w:r w:rsidRPr="00516007">
        <w:rPr>
          <w:rFonts w:ascii="Palatino Linotype" w:hAnsi="Palatino Linotype"/>
        </w:rPr>
        <w:t>encontrado es</w:t>
      </w:r>
      <w:r>
        <w:rPr>
          <w:rFonts w:ascii="Palatino Linotype" w:hAnsi="Palatino Linotype"/>
        </w:rPr>
        <w:t xml:space="preserve"> el correcto (positivo).</w:t>
      </w:r>
      <w:r w:rsidR="00CE453C">
        <w:rPr>
          <w:rFonts w:ascii="Palatino Linotype" w:hAnsi="Palatino Linotype"/>
        </w:rPr>
        <w:t xml:space="preserve"> </w:t>
      </w:r>
      <w:r>
        <w:rPr>
          <w:rFonts w:ascii="Palatino Linotype" w:hAnsi="Palatino Linotype"/>
        </w:rPr>
        <w:t xml:space="preserve">Cabe mencionar que el modelo final -en esta etapa- no considera intercepto con el fin evitar que el promedio del rendimiento estimado sea muy cercano a cero. </w:t>
      </w:r>
    </w:p>
    <w:p w14:paraId="165A8221" w14:textId="77777777" w:rsidR="00734BFB" w:rsidRPr="00516007" w:rsidRDefault="00FA44D6" w:rsidP="00734BFB">
      <w:pPr>
        <w:rPr>
          <w:rFonts w:ascii="Palatino Linotype" w:hAnsi="Palatino Linotype"/>
        </w:rP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=β*</m:t>
          </m:r>
          <m:sSub>
            <m:sSubPr>
              <m:ctrlPr>
                <w:rPr>
                  <w:rFonts w:ascii="Cambria Math" w:hAnsi="Cambria Math"/>
                  <w:i/>
                </w:rPr>
              </m:ctrlPr>
            </m:sSubPr>
            <m:e>
              <m:r>
                <w:rPr>
                  <w:rFonts w:ascii="Cambria Math" w:hAnsi="Cambria Math"/>
                </w:rPr>
                <m:t>TI</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 xml:space="preserve">t </m:t>
              </m:r>
            </m:sub>
          </m:sSub>
          <m:r>
            <w:rPr>
              <w:rFonts w:ascii="Cambria Math" w:hAnsi="Cambria Math"/>
            </w:rPr>
            <m:t>…(1)</m:t>
          </m:r>
        </m:oMath>
      </m:oMathPara>
    </w:p>
    <w:p w14:paraId="1D39010A" w14:textId="17401276" w:rsidR="0040437B" w:rsidRPr="00D414BA" w:rsidRDefault="00734BFB" w:rsidP="00734BFB">
      <w:pPr>
        <w:rPr>
          <w:rFonts w:ascii="Palatino Linotype" w:hAnsi="Palatino Linotype"/>
        </w:rPr>
      </w:pPr>
      <w:r>
        <w:rPr>
          <w:rFonts w:ascii="Palatino Linotype" w:hAnsi="Palatino Linotype"/>
        </w:rPr>
        <w:t xml:space="preserve">El </w:t>
      </w:r>
      <w:r w:rsidRPr="00D414BA">
        <w:rPr>
          <w:rFonts w:ascii="Palatino Linotype" w:hAnsi="Palatino Linotype"/>
          <w:b/>
          <w:i/>
        </w:rPr>
        <w:t>modelo 5</w:t>
      </w:r>
      <w:r>
        <w:rPr>
          <w:rFonts w:ascii="Palatino Linotype" w:hAnsi="Palatino Linotype"/>
        </w:rPr>
        <w:t xml:space="preserve"> captura la ecuación 1 (modelo sin intercepto). En este caso el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=0.86</m:t>
        </m:r>
      </m:oMath>
      <w:r>
        <w:rPr>
          <w:rFonts w:ascii="Palatino Linotype" w:hAnsi="Palatino Linotype"/>
        </w:rPr>
        <w:t xml:space="preserve"> y el signo sigue siendo el correcto junto con el </w:t>
      </w:r>
      <w:r>
        <w:rPr>
          <w:rFonts w:ascii="Palatino Linotype" w:hAnsi="Palatino Linotype"/>
          <w:i/>
        </w:rPr>
        <w:t>p-value</w:t>
      </w:r>
      <w:r>
        <w:rPr>
          <w:rFonts w:ascii="Palatino Linotype" w:hAnsi="Palatino Linotype"/>
        </w:rPr>
        <w:t xml:space="preserve"> menor a 0.05.</w:t>
      </w:r>
      <w:r w:rsidR="00CE453C">
        <w:rPr>
          <w:rFonts w:ascii="Palatino Linotype" w:hAnsi="Palatino Linotype"/>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126"/>
      </w:tblGrid>
      <w:tr w:rsidR="00734BFB" w14:paraId="6C90D86F" w14:textId="77777777" w:rsidTr="0040437B">
        <w:trPr>
          <w:jc w:val="center"/>
        </w:trPr>
        <w:tc>
          <w:tcPr>
            <w:tcW w:w="4806" w:type="dxa"/>
          </w:tcPr>
          <w:p w14:paraId="6B3253DC" w14:textId="77777777" w:rsidR="00734BFB" w:rsidRPr="00746FA8" w:rsidRDefault="00734BFB" w:rsidP="00734BFB">
            <w:pPr>
              <w:jc w:val="center"/>
              <w:rPr>
                <w:rFonts w:ascii="Palatino Linotype" w:hAnsi="Palatino Linotype"/>
                <w:b/>
              </w:rPr>
            </w:pPr>
            <w:r w:rsidRPr="00746FA8">
              <w:rPr>
                <w:rFonts w:ascii="Palatino Linotype" w:hAnsi="Palatino Linotype"/>
                <w:b/>
              </w:rPr>
              <w:t>Primera etapa del modelo</w:t>
            </w:r>
          </w:p>
        </w:tc>
        <w:tc>
          <w:tcPr>
            <w:tcW w:w="4126" w:type="dxa"/>
          </w:tcPr>
          <w:p w14:paraId="04C802BB" w14:textId="3D149E5B" w:rsidR="00734BFB" w:rsidRPr="00746FA8" w:rsidRDefault="00734BFB" w:rsidP="00734BFB">
            <w:pPr>
              <w:jc w:val="center"/>
              <w:rPr>
                <w:rFonts w:ascii="Palatino Linotype" w:hAnsi="Palatino Linotype"/>
                <w:b/>
              </w:rPr>
            </w:pPr>
            <w:r w:rsidRPr="00746FA8">
              <w:rPr>
                <w:rFonts w:ascii="Palatino Linotype" w:hAnsi="Palatino Linotype"/>
                <w:b/>
              </w:rPr>
              <w:t>Modelo</w:t>
            </w:r>
            <w:r w:rsidR="0040437B">
              <w:rPr>
                <w:rFonts w:ascii="Palatino Linotype" w:hAnsi="Palatino Linotype"/>
                <w:b/>
              </w:rPr>
              <w:t xml:space="preserve"> 5</w:t>
            </w:r>
          </w:p>
          <w:p w14:paraId="081D7151" w14:textId="77777777" w:rsidR="00734BFB" w:rsidRPr="00746FA8" w:rsidRDefault="00734BFB" w:rsidP="00734BFB">
            <w:pPr>
              <w:jc w:val="center"/>
              <w:rPr>
                <w:rFonts w:ascii="Palatino Linotype" w:hAnsi="Palatino Linotype"/>
                <w:b/>
              </w:rPr>
            </w:pPr>
            <w:r w:rsidRPr="00746FA8">
              <w:rPr>
                <w:rFonts w:ascii="Palatino Linotype" w:hAnsi="Palatino Linotype"/>
                <w:b/>
                <w:i/>
              </w:rPr>
              <w:t>Rendimiento-TI (sin constante)</w:t>
            </w:r>
          </w:p>
        </w:tc>
      </w:tr>
      <w:tr w:rsidR="00734BFB" w14:paraId="59DA17F5" w14:textId="77777777" w:rsidTr="0040437B">
        <w:trPr>
          <w:jc w:val="center"/>
        </w:trPr>
        <w:tc>
          <w:tcPr>
            <w:tcW w:w="4806" w:type="dxa"/>
          </w:tcPr>
          <w:p w14:paraId="0BCC1A61" w14:textId="77777777" w:rsidR="00734BFB" w:rsidRDefault="00734BFB" w:rsidP="00734BFB">
            <w:pPr>
              <w:jc w:val="center"/>
              <w:rPr>
                <w:rFonts w:ascii="Palatino Linotype" w:hAnsi="Palatino Linotype"/>
              </w:rPr>
            </w:pPr>
            <w:r>
              <w:rPr>
                <w:rFonts w:ascii="Palatino Linotype" w:hAnsi="Palatino Linotype"/>
                <w:noProof/>
                <w:lang w:val="es-PE"/>
              </w:rPr>
              <mc:AlternateContent>
                <mc:Choice Requires="wps">
                  <w:drawing>
                    <wp:anchor distT="0" distB="0" distL="114300" distR="114300" simplePos="0" relativeHeight="251696128" behindDoc="0" locked="0" layoutInCell="1" allowOverlap="1" wp14:anchorId="52794F46" wp14:editId="12E3101E">
                      <wp:simplePos x="0" y="0"/>
                      <wp:positionH relativeFrom="column">
                        <wp:posOffset>107315</wp:posOffset>
                      </wp:positionH>
                      <wp:positionV relativeFrom="paragraph">
                        <wp:posOffset>115570</wp:posOffset>
                      </wp:positionV>
                      <wp:extent cx="787400" cy="3873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787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2084C" w14:textId="77777777" w:rsidR="001C045B" w:rsidRPr="00554DC8" w:rsidRDefault="001C045B" w:rsidP="00734BFB">
                                  <w:pPr>
                                    <w:jc w:val="center"/>
                                    <w:rPr>
                                      <w:b/>
                                      <w:color w:val="FF0000"/>
                                      <w:sz w:val="14"/>
                                      <w:szCs w:val="14"/>
                                    </w:rPr>
                                  </w:pPr>
                                  <w:r w:rsidRPr="00554DC8">
                                    <w:rPr>
                                      <w:b/>
                                      <w:color w:val="FF0000"/>
                                      <w:sz w:val="14"/>
                                      <w:szCs w:val="14"/>
                                    </w:rPr>
                                    <w:t>Rendimiento observado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4F46" id="17 Cuadro de texto" o:spid="_x0000_s1036" type="#_x0000_t202" style="position:absolute;left:0;text-align:left;margin-left:8.45pt;margin-top:9.1pt;width:62pt;height: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4FhQIAAHEFAAAOAAAAZHJzL2Uyb0RvYy54bWysVN9v2jAQfp+0/8Hy+xqgtOkQoWJUTJOq&#10;tlo79dk4NkSzfZ5tSNhfv7OTAGN76bSX5Hz3+Xz33Y/pbaMV2QnnKzAFHV4MKBGGQ1mZdUG/vSw/&#10;3FDiAzMlU2BEQffC09vZ+3fT2k7ECDagSuEIOjF+UtuCbkKwkyzzfCM08xdghUGjBKdZwKNbZ6Vj&#10;NXrXKhsNBtdZDa60DrjwHrV3rZHOkn8pBQ+PUnoRiCooxhbS16XvKn6z2ZRN1o7ZTcW7MNg/RKFZ&#10;ZfDRg6s7FhjZuuoPV7riDjzIcMFBZyBlxUXKAbMZDs6yed4wK1IuSI63B5r8/3PLH3ZPjlQl1i6n&#10;xDCNNRrmZLFlpQNSChJEEyDSVFs/QfSzRXxoPkGDwF7vURmzb6TT8Y95EbQj4fsDyeiHcFTmN/l4&#10;gBaOpsub/PIqFSE7XrbOh88CNIlCQR3WMFHLdvc+YCAI7SHxLQPLSqlUR2VIXdDr6PI3C95QJmpE&#10;6ojOTUyoDTxJYa9ExCjzVUhkJMUfFakXxUI5smPYRYxzYUJKPflFdERJDOItFzv8Maq3XG7z6F8G&#10;Ew6XdWXApezPwi6/9yHLFo9EnuQdxdCsmtQKeV/XFZR7LLeDdm685csKi3LPfHhiDgcF64jDHx7x&#10;IxUg+dBJlGzA/fybPuKxf9FKSY2DV1D/Y8ucoER9MdjZH4fjcZzUdBhf5SM8uFPL6tRitnoBWJUh&#10;rhnLkxjxQfWidKBfcUfM46toYobj2wUNvbgI7TrAHcPFfJ5AOJuWhXvzbHl0HYsUW+6leWXOdn0Z&#10;B+MB+hFlk7P2bLHxpoH5NoCsUu9GnltWO/5xrlNLdzsoLo7Tc0IdN+XsFwAAAP//AwBQSwMEFAAG&#10;AAgAAAAhAIUsr+HfAAAACAEAAA8AAABkcnMvZG93bnJldi54bWxMj0FPwzAMhe9I/IfISNxYSgWj&#10;K02nqdKEhOCwsQs3t8naisQpTbYVfj3eaZys5/f0/LlYTs6KoxlD70nB/SwBYajxuqdWwe5jfZeB&#10;CBFJo/VkFPyYAMvy+qrAXPsTbcxxG1vBJRRyVNDFOORShqYzDsPMD4bY2/vRYWQ5tlKPeOJyZ2Wa&#10;JHPpsCe+0OFgqs40X9uDU/Bard9xU6cu+7XVy9t+NXzvPh+Vur2ZVs8gopniJQxnfEaHkplqfyAd&#10;hGU9X3CSZ5aCOPsPCS9qBU+LFGRZyP8PlH8AAAD//wMAUEsBAi0AFAAGAAgAAAAhALaDOJL+AAAA&#10;4QEAABMAAAAAAAAAAAAAAAAAAAAAAFtDb250ZW50X1R5cGVzXS54bWxQSwECLQAUAAYACAAAACEA&#10;OP0h/9YAAACUAQAACwAAAAAAAAAAAAAAAAAvAQAAX3JlbHMvLnJlbHNQSwECLQAUAAYACAAAACEA&#10;grPeBYUCAABxBQAADgAAAAAAAAAAAAAAAAAuAgAAZHJzL2Uyb0RvYy54bWxQSwECLQAUAAYACAAA&#10;ACEAhSyv4d8AAAAIAQAADwAAAAAAAAAAAAAAAADfBAAAZHJzL2Rvd25yZXYueG1sUEsFBgAAAAAE&#10;AAQA8wAAAOsFAAAAAA==&#10;" filled="f" stroked="f" strokeweight=".5pt">
                      <v:textbox>
                        <w:txbxContent>
                          <w:p w14:paraId="4452084C" w14:textId="77777777" w:rsidR="001C045B" w:rsidRPr="00554DC8" w:rsidRDefault="001C045B" w:rsidP="00734BFB">
                            <w:pPr>
                              <w:jc w:val="center"/>
                              <w:rPr>
                                <w:b/>
                                <w:color w:val="FF0000"/>
                                <w:sz w:val="14"/>
                                <w:szCs w:val="14"/>
                              </w:rPr>
                            </w:pPr>
                            <w:r w:rsidRPr="00554DC8">
                              <w:rPr>
                                <w:b/>
                                <w:color w:val="FF0000"/>
                                <w:sz w:val="14"/>
                                <w:szCs w:val="14"/>
                              </w:rPr>
                              <w:t>Rendimiento observado</w:t>
                            </w:r>
                          </w:p>
                        </w:txbxContent>
                      </v:textbox>
                    </v:shape>
                  </w:pict>
                </mc:Fallback>
              </mc:AlternateContent>
            </w:r>
            <w:r>
              <w:rPr>
                <w:rFonts w:ascii="Palatino Linotype" w:hAnsi="Palatino Linotype"/>
                <w:noProof/>
                <w:lang w:val="es-PE"/>
              </w:rPr>
              <mc:AlternateContent>
                <mc:Choice Requires="wps">
                  <w:drawing>
                    <wp:anchor distT="0" distB="0" distL="114300" distR="114300" simplePos="0" relativeHeight="251701248" behindDoc="0" locked="0" layoutInCell="1" allowOverlap="1" wp14:anchorId="2BEE00A7" wp14:editId="649BD185">
                      <wp:simplePos x="0" y="0"/>
                      <wp:positionH relativeFrom="column">
                        <wp:posOffset>678815</wp:posOffset>
                      </wp:positionH>
                      <wp:positionV relativeFrom="paragraph">
                        <wp:posOffset>288290</wp:posOffset>
                      </wp:positionV>
                      <wp:extent cx="247650" cy="6350"/>
                      <wp:effectExtent l="0" t="76200" r="19050" b="107950"/>
                      <wp:wrapNone/>
                      <wp:docPr id="20" name="20 Conector recto de flecha"/>
                      <wp:cNvGraphicFramePr/>
                      <a:graphic xmlns:a="http://schemas.openxmlformats.org/drawingml/2006/main">
                        <a:graphicData uri="http://schemas.microsoft.com/office/word/2010/wordprocessingShape">
                          <wps:wsp>
                            <wps:cNvCnPr/>
                            <wps:spPr>
                              <a:xfrm flipV="1">
                                <a:off x="0" y="0"/>
                                <a:ext cx="247650" cy="63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92010" id="20 Conector recto de flecha" o:spid="_x0000_s1026" type="#_x0000_t32" style="position:absolute;margin-left:53.45pt;margin-top:22.7pt;width:19.5pt;height:.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Z+QEAAEcEAAAOAAAAZHJzL2Uyb0RvYy54bWysU01z0zAQvTPDf9DoTuykNGUycXpIKRcG&#10;MhR6V+VVrBl9zUrEyb9nJTsOLb3AcJEla9/bt0+769ujNewAGLV3DZ/Pas7ASd9qt2/4j+/37z5w&#10;FpNwrTDeQcNPEPnt5u2bdR9WsPCdNy0gIxIXV31oeJdSWFVVlB1YEWc+gKNL5dGKREfcVy2Kntit&#10;qRZ1vax6j21ALyFG+ns3XPJN4VcKZPqqVITETMNJWyorlvUpr9VmLVZ7FKHTcpQh/kGFFdpR0onq&#10;TiTBfqL+g8pqiT56lWbS28orpSWUGqiaef2imodOBCi1kDkxTDbF/0crvxx2yHTb8AXZ44SlN1rU&#10;bEuPJZNHhvnDWmDKgOxE9qsPcUWwrdvheIphh7n4o0JLgTo8UisUO6hAdixunya34ZiYpJ+L9zfL&#10;a0oq6Wp5RTtiqwaSTBYwpk/gLcubhseEQu+7RMoGaUMCcfgc0wA8AzLYONY3/Gp+c11kRG90e6+N&#10;yXelt2BrkB0EdUU6zsfMz6KS0Oaja1k6BbJEIPp+DDOOdGYThrLLLp0MDHm/gSI7qbxB34tkQkpw&#10;6ZzQOIrOMEXSJmA9SM4TcFH5HDjGZyiUJv8b8IQomb1LE9hq5/G17BeP1BB/dmCoO1vw5NtTaYhi&#10;DXVrecxxsvI4/H4u8Mv8b34BAAD//wMAUEsDBBQABgAIAAAAIQBOC8yh3gAAAAkBAAAPAAAAZHJz&#10;L2Rvd25yZXYueG1sTI9BS8NAEIXvgv9hGcGL2E0ljRqzKSKIVOrBWvA6zY5JSHY2ZLdt9Nc7Penx&#10;vfl4816xnFyvDjSG1rOB+SwBRVx523JtYPvxfH0HKkRki71nMvBNAZbl+VmBufVHfqfDJtZKQjjk&#10;aKCJcci1DlVDDsPMD8Ry+/KjwyhyrLUd8Sjhrtc3SZJphy3LhwYHemqo6jZ7Z+Bl+9ms1t0qdK+3&#10;P/XbVYdz6zJjLi+mxwdQkab4B8OpvlSHUjrt/J5tUL3oJLsX1EC6SEGdgHQhxk6MLAVdFvr/gvIX&#10;AAD//wMAUEsBAi0AFAAGAAgAAAAhALaDOJL+AAAA4QEAABMAAAAAAAAAAAAAAAAAAAAAAFtDb250&#10;ZW50X1R5cGVzXS54bWxQSwECLQAUAAYACAAAACEAOP0h/9YAAACUAQAACwAAAAAAAAAAAAAAAAAv&#10;AQAAX3JlbHMvLnJlbHNQSwECLQAUAAYACAAAACEAI9/rGfkBAABHBAAADgAAAAAAAAAAAAAAAAAu&#10;AgAAZHJzL2Uyb0RvYy54bWxQSwECLQAUAAYACAAAACEATgvMod4AAAAJAQAADwAAAAAAAAAAAAAA&#10;AABTBAAAZHJzL2Rvd25yZXYueG1sUEsFBgAAAAAEAAQA8wAAAF4FAAAAAA==&#10;" strokecolor="black [3213]" strokeweight=".25pt">
                      <v:stroke endarrow="open"/>
                    </v:shape>
                  </w:pict>
                </mc:Fallback>
              </mc:AlternateContent>
            </w:r>
            <w:r>
              <w:rPr>
                <w:rFonts w:ascii="Palatino Linotype" w:hAnsi="Palatino Linotype"/>
                <w:noProof/>
                <w:lang w:val="es-PE"/>
              </w:rPr>
              <mc:AlternateContent>
                <mc:Choice Requires="wps">
                  <w:drawing>
                    <wp:anchor distT="0" distB="0" distL="114300" distR="114300" simplePos="0" relativeHeight="251700224" behindDoc="0" locked="0" layoutInCell="1" allowOverlap="1" wp14:anchorId="48C1C6C3" wp14:editId="4CF312D0">
                      <wp:simplePos x="0" y="0"/>
                      <wp:positionH relativeFrom="column">
                        <wp:posOffset>2025015</wp:posOffset>
                      </wp:positionH>
                      <wp:positionV relativeFrom="paragraph">
                        <wp:posOffset>1240790</wp:posOffset>
                      </wp:positionV>
                      <wp:extent cx="6350" cy="304800"/>
                      <wp:effectExtent l="76200" t="38100" r="69850" b="19050"/>
                      <wp:wrapNone/>
                      <wp:docPr id="21" name="21 Conector recto de flecha"/>
                      <wp:cNvGraphicFramePr/>
                      <a:graphic xmlns:a="http://schemas.openxmlformats.org/drawingml/2006/main">
                        <a:graphicData uri="http://schemas.microsoft.com/office/word/2010/wordprocessingShape">
                          <wps:wsp>
                            <wps:cNvCnPr/>
                            <wps:spPr>
                              <a:xfrm flipV="1">
                                <a:off x="0" y="0"/>
                                <a:ext cx="6350" cy="30480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5DDC6" id="21 Conector recto de flecha" o:spid="_x0000_s1026" type="#_x0000_t32" style="position:absolute;margin-left:159.45pt;margin-top:97.7pt;width:.5pt;height:24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Dn+wEAAEcEAAAOAAAAZHJzL2Uyb0RvYy54bWysU02P0zAQvSPxHyzfaZIuu6yipnvoslwQ&#10;VCxw9zrjxpK/NDZN++8ZO23KLlxAXJI4nvfmvefx6u5gDdsDRu1dx5tFzRk46Xvtdh3/9vXhzS1n&#10;MQnXC+MddPwIkd+tX79ajaGFpR+86QEZkbjYjqHjQ0qhraooB7AiLnwAR5vKoxWJlrirehQjsVtT&#10;Lev6pho99gG9hBjp7/20ydeFXymQ6bNSERIzHSdtqTyxPJ/ys1qvRLtDEQYtTzLEP6iwQjtqOlPd&#10;iyTYD9S/UVkt0Uev0kJ6W3mltITigdw09Qs3j4MIULxQODHMMcX/Rys/7bfIdN/xZcOZE5bOaNmw&#10;DR2WTB4Z5hfrgSkDchA5rzHElmAbt8XTKoYtZvMHhZYKdfhOo1DiIIPsUNI+zmnDITFJP2+urulE&#10;JG1c1W9v63IW1USSyQLG9AG8Zfmj4zGh0LshkbJJ2tRA7D/GRDIIeAZksHFsJN7m3XWREb3R/YM2&#10;Ju+V2YKNQbYXNBXp0GRXRPCsKglt3ruepWOgSASiH09lxlF1DmGyXb7S0cDU9wsoipPsTfpeNBNS&#10;gkvnhsZRdYYpkjYD60lyvgEXlc+Bp/oMhTLkfwOeEaWzd2kGW+08/qn7JSM11Z8TmHznCJ58fywD&#10;UaKhaS2Rnm5Wvg6/rgv8cv/XPwEAAP//AwBQSwMEFAAGAAgAAAAhAPfVslTiAAAACwEAAA8AAABk&#10;cnMvZG93bnJldi54bWxMj8FKw0AQhu+C77CM4EXsJk1sm5hNEUGkogfbgtdtdkxCsrMhu22jT+94&#10;0uPM//HPN8V6sr044ehbRwriWQQCqXKmpVrBfvd0uwLhgyaje0eo4As9rMvLi0Lnxp3pHU/bUAsu&#10;IZ9rBU0IQy6lrxq02s/cgMTZpxutDjyOtTSjPnO57eU8ihbS6pb4QqMHfGyw6rZHq+B5/9FsXruN&#10;716W3/XbTadjYxdKXV9ND/cgAk7hD4ZffVaHkp0O7kjGi15BEq8yRjnI7lIQTCRxxpuDgnmapCDL&#10;Qv7/ofwBAAD//wMAUEsBAi0AFAAGAAgAAAAhALaDOJL+AAAA4QEAABMAAAAAAAAAAAAAAAAAAAAA&#10;AFtDb250ZW50X1R5cGVzXS54bWxQSwECLQAUAAYACAAAACEAOP0h/9YAAACUAQAACwAAAAAAAAAA&#10;AAAAAAAvAQAAX3JlbHMvLnJlbHNQSwECLQAUAAYACAAAACEAr4kQ5/sBAABHBAAADgAAAAAAAAAA&#10;AAAAAAAuAgAAZHJzL2Uyb0RvYy54bWxQSwECLQAUAAYACAAAACEA99WyVOIAAAALAQAADwAAAAAA&#10;AAAAAAAAAABVBAAAZHJzL2Rvd25yZXYueG1sUEsFBgAAAAAEAAQA8wAAAGQFAAAAAA==&#10;" strokecolor="black [3213]" strokeweight=".25pt">
                      <v:stroke endarrow="open"/>
                    </v:shape>
                  </w:pict>
                </mc:Fallback>
              </mc:AlternateContent>
            </w:r>
            <w:r>
              <w:rPr>
                <w:rFonts w:ascii="Palatino Linotype" w:hAnsi="Palatino Linotype"/>
                <w:noProof/>
                <w:lang w:val="es-PE"/>
              </w:rPr>
              <mc:AlternateContent>
                <mc:Choice Requires="wps">
                  <w:drawing>
                    <wp:anchor distT="0" distB="0" distL="114300" distR="114300" simplePos="0" relativeHeight="251697152" behindDoc="0" locked="0" layoutInCell="1" allowOverlap="1" wp14:anchorId="24258597" wp14:editId="4E82A508">
                      <wp:simplePos x="0" y="0"/>
                      <wp:positionH relativeFrom="column">
                        <wp:posOffset>1917065</wp:posOffset>
                      </wp:positionH>
                      <wp:positionV relativeFrom="paragraph">
                        <wp:posOffset>109220</wp:posOffset>
                      </wp:positionV>
                      <wp:extent cx="787400" cy="387350"/>
                      <wp:effectExtent l="0" t="0" r="0" b="0"/>
                      <wp:wrapNone/>
                      <wp:docPr id="22" name="22 Cuadro de texto"/>
                      <wp:cNvGraphicFramePr/>
                      <a:graphic xmlns:a="http://schemas.openxmlformats.org/drawingml/2006/main">
                        <a:graphicData uri="http://schemas.microsoft.com/office/word/2010/wordprocessingShape">
                          <wps:wsp>
                            <wps:cNvSpPr txBox="1"/>
                            <wps:spPr>
                              <a:xfrm>
                                <a:off x="0" y="0"/>
                                <a:ext cx="787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6A5D2" w14:textId="77777777" w:rsidR="001C045B" w:rsidRPr="00554DC8" w:rsidRDefault="001C045B" w:rsidP="00734BFB">
                                  <w:pPr>
                                    <w:jc w:val="center"/>
                                    <w:rPr>
                                      <w:b/>
                                      <w:color w:val="4F6228" w:themeColor="accent3" w:themeShade="80"/>
                                      <w:sz w:val="14"/>
                                      <w:szCs w:val="14"/>
                                    </w:rPr>
                                  </w:pPr>
                                  <w:r w:rsidRPr="00554DC8">
                                    <w:rPr>
                                      <w:b/>
                                      <w:color w:val="4F6228" w:themeColor="accent3" w:themeShade="80"/>
                                      <w:sz w:val="14"/>
                                      <w:szCs w:val="14"/>
                                    </w:rPr>
                                    <w:t>Rendimiento estimado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8597" id="22 Cuadro de texto" o:spid="_x0000_s1037" type="#_x0000_t202" style="position:absolute;left:0;text-align:left;margin-left:150.95pt;margin-top:8.6pt;width:62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3lhQIAAHEFAAAOAAAAZHJzL2Uyb0RvYy54bWysVN9v2jAQfp+0/8Hy+wiktDDUUDGqTpNQ&#10;W41OfTaOXaLZPs82JOyv39lJKGN76bSX5Hz3+Xz33Y/rm0YrshfOV2AKOhoMKRGGQ1mZl4J+e7r7&#10;MKXEB2ZKpsCIgh6Epzfz9++uazsTOWxBlcIRdGL8rLYF3YZgZ1nm+VZo5gdghUGjBKdZwKN7yUrH&#10;avSuVZYPh1dZDa60DrjwHrW3rZHOk38pBQ8PUnoRiCooxhbS16XvJn6z+TWbvThmtxXvwmD/EIVm&#10;lcFHj65uWWBk56o/XOmKO/Agw4CDzkDKiouUA2YzGp5ls94yK1IuSI63R5r8/3PL7/ePjlRlQfOc&#10;EsM01ijPyXLHSgekFCSIJkCkqbZ+hui1RXxoPkGD5e71HpUx+0Y6Hf+YF0E7En44kox+CEflZDoZ&#10;D9HC0XQxnVxcpiJkr5et8+GzAE2iUFCHNUzUsv3KBwwEoT0kvmXgrlIq1VEZUhf0Krr8zYI3lIka&#10;kTqicxMTagNPUjgoETHKfBUSGUnxR0XqRbFUjuwZdhHjXJiQUk9+ER1REoN4y8UO/xrVWy63efQv&#10;gwnHy7oy4FL2Z2GX3/uQZYtHIk/yjmJoNk1qhWlf1w2UByy3g3ZuvOV3FRZlxXx4ZA4HBeuIwx8e&#10;8CMVIPnQSZRswf38mz7isX/RSkmNg1dQ/2PHnKBEfTHY2R9H43Gc1HQYX05yPLhTy+bUYnZ6CViV&#10;Ea4Zy5MY8UH1onSgn3FHLOKraGKG49sFDb24DO06wB3DxWKRQDibloWVWVseXccixZZ7ap6Zs11f&#10;xsG4h35E2eysPVtsvGlgsQsgq9S7keeW1Y5/nOvU0t0Oiovj9JxQr5ty/gsAAP//AwBQSwMEFAAG&#10;AAgAAAAhAFyyh3zgAAAACQEAAA8AAABkcnMvZG93bnJldi54bWxMj8FOwzAMhu9IvENkJG4sXWCs&#10;lKbTVGlCQnDY2IVb2nhtReOUJtsKT485wdH+P/3+nK8m14sTjqHzpGE+S0Ag1d521GjYv21uUhAh&#10;GrKm94QavjDAqri8yE1m/Zm2eNrFRnAJhcxoaGMcMilD3aIzYeYHJM4OfnQm8jg20o7mzOWulypJ&#10;7qUzHfGF1gxYtlh/7I5Ow3O5eTXbSrn0uy+fXg7r4XP/vtD6+mpaP4KIOMU/GH71WR0Kdqr8kWwQ&#10;vYbbZP7AKAdLBYKBO7XgRaVhmSqQRS7/f1D8AAAA//8DAFBLAQItABQABgAIAAAAIQC2gziS/gAA&#10;AOEBAAATAAAAAAAAAAAAAAAAAAAAAABbQ29udGVudF9UeXBlc10ueG1sUEsBAi0AFAAGAAgAAAAh&#10;ADj9If/WAAAAlAEAAAsAAAAAAAAAAAAAAAAALwEAAF9yZWxzLy5yZWxzUEsBAi0AFAAGAAgAAAAh&#10;AGqDPeWFAgAAcQUAAA4AAAAAAAAAAAAAAAAALgIAAGRycy9lMm9Eb2MueG1sUEsBAi0AFAAGAAgA&#10;AAAhAFyyh3zgAAAACQEAAA8AAAAAAAAAAAAAAAAA3wQAAGRycy9kb3ducmV2LnhtbFBLBQYAAAAA&#10;BAAEAPMAAADsBQAAAAA=&#10;" filled="f" stroked="f" strokeweight=".5pt">
                      <v:textbox>
                        <w:txbxContent>
                          <w:p w14:paraId="37A6A5D2" w14:textId="77777777" w:rsidR="001C045B" w:rsidRPr="00554DC8" w:rsidRDefault="001C045B" w:rsidP="00734BFB">
                            <w:pPr>
                              <w:jc w:val="center"/>
                              <w:rPr>
                                <w:b/>
                                <w:color w:val="4F6228" w:themeColor="accent3" w:themeShade="80"/>
                                <w:sz w:val="14"/>
                                <w:szCs w:val="14"/>
                              </w:rPr>
                            </w:pPr>
                            <w:r w:rsidRPr="00554DC8">
                              <w:rPr>
                                <w:b/>
                                <w:color w:val="4F6228" w:themeColor="accent3" w:themeShade="80"/>
                                <w:sz w:val="14"/>
                                <w:szCs w:val="14"/>
                              </w:rPr>
                              <w:t>Rendimiento estimado</w:t>
                            </w:r>
                          </w:p>
                        </w:txbxContent>
                      </v:textbox>
                    </v:shape>
                  </w:pict>
                </mc:Fallback>
              </mc:AlternateContent>
            </w:r>
            <w:r>
              <w:rPr>
                <w:rFonts w:ascii="Palatino Linotype" w:hAnsi="Palatino Linotype"/>
                <w:noProof/>
                <w:lang w:val="es-PE"/>
              </w:rPr>
              <mc:AlternateContent>
                <mc:Choice Requires="wps">
                  <w:drawing>
                    <wp:anchor distT="0" distB="0" distL="114300" distR="114300" simplePos="0" relativeHeight="251698176" behindDoc="0" locked="0" layoutInCell="1" allowOverlap="1" wp14:anchorId="05020012" wp14:editId="38C9760D">
                      <wp:simplePos x="0" y="0"/>
                      <wp:positionH relativeFrom="column">
                        <wp:posOffset>2298065</wp:posOffset>
                      </wp:positionH>
                      <wp:positionV relativeFrom="paragraph">
                        <wp:posOffset>388620</wp:posOffset>
                      </wp:positionV>
                      <wp:extent cx="0" cy="260350"/>
                      <wp:effectExtent l="95250" t="0" r="57150" b="63500"/>
                      <wp:wrapNone/>
                      <wp:docPr id="23" name="23 Conector recto de flecha"/>
                      <wp:cNvGraphicFramePr/>
                      <a:graphic xmlns:a="http://schemas.openxmlformats.org/drawingml/2006/main">
                        <a:graphicData uri="http://schemas.microsoft.com/office/word/2010/wordprocessingShape">
                          <wps:wsp>
                            <wps:cNvCnPr/>
                            <wps:spPr>
                              <a:xfrm>
                                <a:off x="0" y="0"/>
                                <a:ext cx="0" cy="2603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AB61C" id="23 Conector recto de flecha" o:spid="_x0000_s1026" type="#_x0000_t32" style="position:absolute;margin-left:180.95pt;margin-top:30.6pt;width:0;height:2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7wEAADoEAAAOAAAAZHJzL2Uyb0RvYy54bWysU8tu2zAQvBfoPxC815JlJC0Eyzk4TS9F&#10;a/TxAQy1tAjwhSVr2X/fJWXLTdpLg1z43NmdGS7Xd0dr2AEwau86vlzUnIGTvtdu3/GfPx7efeAs&#10;JuF6YbyDjp8g8rvN2zfrMbTQ+MGbHpBREhfbMXR8SCm0VRXlAFbEhQ/g6FJ5tCLRFvdVj2Kk7NZU&#10;TV3fVqPHPqCXECOd3k+XfFPyKwUyfVUqQmKm48QtlRHL+JjHarMW7R5FGLQ80xAvYGGFdlR0TnUv&#10;kmC/UP+VymqJPnqVFtLbyiulJRQNpGZZP1PzfRABihYyJ4bZpvh6aeWXww6Z7jverDhzwtIbNSu2&#10;pceSySPDPLEemDIgB5H9GkNsCbZ1OzzvYthhFn9UaPNMstixeHyaPYZjYnI6lHTa3Narm2J/dcUF&#10;jOkTeMvyouMxodD7IRGZic2yWCwOn2OiygS8AHJR49jY8dXy/U2Jit7o/kEbk+9KO8HWIDsIaoR0&#10;XGYhlOBJVBLafHQ9S6dALghEP57DjKPorHtSWlbpZGCq+w0UOUjaJn7PigkpwaVLQeMoOsMUUZuB&#10;9UQ5N/2V5VPgOT5DofT1/4BnRKnsXZrBVjuP/6p+9UhN8RcHJt3Zgkffn0oPFGuoQYul58+Uf8Cf&#10;+wK/fvnNbwAAAP//AwBQSwMEFAAGAAgAAAAhAG+alJrdAAAACgEAAA8AAABkcnMvZG93bnJldi54&#10;bWxMj01PwzAMhu9I/IfISNxY0gIFStMJkEDiNsaHOGaJaas1Tmmyrvx7jDjA0faj189bLWffiwnH&#10;2AXSkC0UCCQbXEeNhpfn+5NLEDEZcqYPhBq+MMKyPjyoTOnCnp5wWqdGcAjF0mhoUxpKKaNt0Zu4&#10;CAMS3z7C6E3icWykG82ew30vc6UK6U1H/KE1A961aLfrneeU1Zm12cO5U28X28dXev8Mt1Oh9fHR&#10;fHMNIuGc/mD40Wd1qNlpE3bkoug1nBbZFaMaiiwHwcDvYsOkynOQdSX/V6i/AQAA//8DAFBLAQIt&#10;ABQABgAIAAAAIQC2gziS/gAAAOEBAAATAAAAAAAAAAAAAAAAAAAAAABbQ29udGVudF9UeXBlc10u&#10;eG1sUEsBAi0AFAAGAAgAAAAhADj9If/WAAAAlAEAAAsAAAAAAAAAAAAAAAAALwEAAF9yZWxzLy5y&#10;ZWxzUEsBAi0AFAAGAAgAAAAhAOm6P/HvAQAAOgQAAA4AAAAAAAAAAAAAAAAALgIAAGRycy9lMm9E&#10;b2MueG1sUEsBAi0AFAAGAAgAAAAhAG+alJrdAAAACgEAAA8AAAAAAAAAAAAAAAAASQQAAGRycy9k&#10;b3ducmV2LnhtbFBLBQYAAAAABAAEAPMAAABTBQAAAAA=&#10;" strokecolor="black [3213]" strokeweight=".25pt">
                      <v:stroke endarrow="open"/>
                    </v:shape>
                  </w:pict>
                </mc:Fallback>
              </mc:AlternateContent>
            </w:r>
            <w:r>
              <w:rPr>
                <w:rFonts w:ascii="Palatino Linotype" w:hAnsi="Palatino Linotype"/>
                <w:noProof/>
                <w:lang w:val="es-PE"/>
              </w:rPr>
              <mc:AlternateContent>
                <mc:Choice Requires="wps">
                  <w:drawing>
                    <wp:anchor distT="0" distB="0" distL="114300" distR="114300" simplePos="0" relativeHeight="251699200" behindDoc="0" locked="0" layoutInCell="1" allowOverlap="1" wp14:anchorId="23C29D74" wp14:editId="7C1F1E9D">
                      <wp:simplePos x="0" y="0"/>
                      <wp:positionH relativeFrom="column">
                        <wp:posOffset>1656715</wp:posOffset>
                      </wp:positionH>
                      <wp:positionV relativeFrom="paragraph">
                        <wp:posOffset>1474470</wp:posOffset>
                      </wp:positionV>
                      <wp:extent cx="787400" cy="387350"/>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787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3F349" w14:textId="77777777" w:rsidR="001C045B" w:rsidRPr="00554DC8" w:rsidRDefault="001C045B" w:rsidP="00734BFB">
                                  <w:pPr>
                                    <w:jc w:val="center"/>
                                    <w:rPr>
                                      <w:b/>
                                      <w:color w:val="1F497D" w:themeColor="text2"/>
                                      <w:sz w:val="14"/>
                                      <w:szCs w:val="14"/>
                                    </w:rPr>
                                  </w:pPr>
                                  <w:r w:rsidRPr="00554DC8">
                                    <w:rPr>
                                      <w:b/>
                                      <w:color w:val="1F497D" w:themeColor="text2"/>
                                      <w:sz w:val="14"/>
                                      <w:szCs w:val="14"/>
                                    </w:rPr>
                                    <w:t>Error (</w:t>
                                  </w:r>
                                  <m:oMath>
                                    <m:sSub>
                                      <m:sSubPr>
                                        <m:ctrlPr>
                                          <w:rPr>
                                            <w:rFonts w:ascii="Cambria Math" w:hAnsi="Cambria Math"/>
                                            <w:i/>
                                            <w:color w:val="1F497D" w:themeColor="text2"/>
                                            <w:sz w:val="14"/>
                                            <w:szCs w:val="14"/>
                                          </w:rPr>
                                        </m:ctrlPr>
                                      </m:sSubPr>
                                      <m:e>
                                        <m:r>
                                          <w:rPr>
                                            <w:rFonts w:ascii="Cambria Math" w:hAnsi="Cambria Math"/>
                                            <w:color w:val="1F497D" w:themeColor="text2"/>
                                            <w:sz w:val="14"/>
                                            <w:szCs w:val="14"/>
                                          </w:rPr>
                                          <m:t>μ</m:t>
                                        </m:r>
                                      </m:e>
                                      <m:sub>
                                        <m:r>
                                          <w:rPr>
                                            <w:rFonts w:ascii="Cambria Math" w:hAnsi="Cambria Math"/>
                                            <w:color w:val="1F497D" w:themeColor="text2"/>
                                            <w:sz w:val="14"/>
                                            <w:szCs w:val="14"/>
                                          </w:rPr>
                                          <m:t>t</m:t>
                                        </m:r>
                                      </m:sub>
                                    </m:sSub>
                                  </m:oMath>
                                  <w:r w:rsidRPr="00554DC8">
                                    <w:rPr>
                                      <w:b/>
                                      <w:color w:val="1F497D" w:themeColor="text2"/>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29D74" id="24 Cuadro de texto" o:spid="_x0000_s1038" type="#_x0000_t202" style="position:absolute;left:0;text-align:left;margin-left:130.45pt;margin-top:116.1pt;width:62pt;height: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mLhgIAAHEFAAAOAAAAZHJzL2Uyb0RvYy54bWysVN9v2jAQfp+0/8Hy+whQWlpEqBgV0yTU&#10;VmunPhvHhmi2z7MNCfvre3YSytheOu0lOd99Pt9992N6W2tF9sL5EkxOB70+JcJwKEqzyen35+Wn&#10;a0p8YKZgCozI6UF4ejv7+GFa2YkYwhZUIRxBJ8ZPKpvTbQh2kmWeb4VmvgdWGDRKcJoFPLpNVjhW&#10;oXetsmG/f5VV4ArrgAvvUXvXGOks+ZdS8PAgpReBqJxibCF9Xfqu4zebTdlk45jdlrwNg/1DFJqV&#10;Bh89urpjgZGdK/9wpUvuwIMMPQ46AylLLlIOmM2gf5bN05ZZkXJBcrw90uT/n1t+v390pCxyOhxR&#10;YpjGGg1HZLFjhQNSCBJEHSDSVFk/QfSTRXyoP0ON5e70HpUx+1o6Hf+YF0E7En44kox+CEfl+Ho8&#10;6qOFo+nienxxmYqQvV22zocvAjSJQk4d1jBRy/YrHzAQhHaQ+JaBZalUqqMypMrpVXT5mwVvKBM1&#10;InVE6yYm1ASepHBQImKU+SYkMpLij4rUi2KhHNkz7CLGuTAhpZ78IjqiJAbxnost/i2q91xu8uhe&#10;BhOOl3VpwKXsz8IufnQhywaPRJ7kHcVQr+vUCjddXddQHLDcDpq58ZYvSyzKivnwyBwOCtYRhz88&#10;4EcqQPKhlSjZgvv1N33EY/+ilZIKBy+n/ueOOUGJ+mqws28Go1Gc1HQYXY6HeHCnlvWpxez0ArAq&#10;A1wzlicx4oPqROlAv+COmMdX0cQMx7dzGjpxEZp1gDuGi/k8gXA2LQsr82R5dB2LFFvuuX5hzrZ9&#10;GQfjHroRZZOz9myw8aaB+S6ALFPvRp4bVlv+ca5TS7c7KC6O03NCvW3K2SsAAAD//wMAUEsDBBQA&#10;BgAIAAAAIQBNfW9v4gAAAAsBAAAPAAAAZHJzL2Rvd25yZXYueG1sTI/NTsMwEITvSLyDtUjcqFMH&#10;qjTEqapIFRKCQ0sv3Daxm0T1T4jdNvD0LKdy250ZzX5brCZr2FmPofdOwnyWANOu8ap3rYT9x+Yh&#10;AxYiOoXGOy3hWwdYlbc3BebKX9xWn3exZVTiQo4SuhiHnPPQdNpimPlBO/IOfrQYaR1brka8ULk1&#10;XCTJglvsHV3ocNBVp5vj7mQlvFabd9zWwmY/pnp5O6yHr/3nk5T3d9P6GVjUU7yG4Q+f0KEkptqf&#10;nArMSBCLZElRGlIhgFEizR5JqUlZpgJ4WfD/P5S/AAAA//8DAFBLAQItABQABgAIAAAAIQC2gziS&#10;/gAAAOEBAAATAAAAAAAAAAAAAAAAAAAAAABbQ29udGVudF9UeXBlc10ueG1sUEsBAi0AFAAGAAgA&#10;AAAhADj9If/WAAAAlAEAAAsAAAAAAAAAAAAAAAAALwEAAF9yZWxzLy5yZWxzUEsBAi0AFAAGAAgA&#10;AAAhAKA7eYuGAgAAcQUAAA4AAAAAAAAAAAAAAAAALgIAAGRycy9lMm9Eb2MueG1sUEsBAi0AFAAG&#10;AAgAAAAhAE19b2/iAAAACwEAAA8AAAAAAAAAAAAAAAAA4AQAAGRycy9kb3ducmV2LnhtbFBLBQYA&#10;AAAABAAEAPMAAADvBQAAAAA=&#10;" filled="f" stroked="f" strokeweight=".5pt">
                      <v:textbox>
                        <w:txbxContent>
                          <w:p w14:paraId="63A3F349" w14:textId="77777777" w:rsidR="001C045B" w:rsidRPr="00554DC8" w:rsidRDefault="001C045B" w:rsidP="00734BFB">
                            <w:pPr>
                              <w:jc w:val="center"/>
                              <w:rPr>
                                <w:b/>
                                <w:color w:val="1F497D" w:themeColor="text2"/>
                                <w:sz w:val="14"/>
                                <w:szCs w:val="14"/>
                              </w:rPr>
                            </w:pPr>
                            <w:r w:rsidRPr="00554DC8">
                              <w:rPr>
                                <w:b/>
                                <w:color w:val="1F497D" w:themeColor="text2"/>
                                <w:sz w:val="14"/>
                                <w:szCs w:val="14"/>
                              </w:rPr>
                              <w:t>Error (</w:t>
                            </w:r>
                            <m:oMath>
                              <m:sSub>
                                <m:sSubPr>
                                  <m:ctrlPr>
                                    <w:rPr>
                                      <w:rFonts w:ascii="Cambria Math" w:hAnsi="Cambria Math"/>
                                      <w:i/>
                                      <w:color w:val="1F497D" w:themeColor="text2"/>
                                      <w:sz w:val="14"/>
                                      <w:szCs w:val="14"/>
                                    </w:rPr>
                                  </m:ctrlPr>
                                </m:sSubPr>
                                <m:e>
                                  <m:r>
                                    <w:rPr>
                                      <w:rFonts w:ascii="Cambria Math" w:hAnsi="Cambria Math"/>
                                      <w:color w:val="1F497D" w:themeColor="text2"/>
                                      <w:sz w:val="14"/>
                                      <w:szCs w:val="14"/>
                                    </w:rPr>
                                    <m:t>μ</m:t>
                                  </m:r>
                                </m:e>
                                <m:sub>
                                  <m:r>
                                    <w:rPr>
                                      <w:rFonts w:ascii="Cambria Math" w:hAnsi="Cambria Math"/>
                                      <w:color w:val="1F497D" w:themeColor="text2"/>
                                      <w:sz w:val="14"/>
                                      <w:szCs w:val="14"/>
                                    </w:rPr>
                                    <m:t>t</m:t>
                                  </m:r>
                                </m:sub>
                              </m:sSub>
                            </m:oMath>
                            <w:r w:rsidRPr="00554DC8">
                              <w:rPr>
                                <w:b/>
                                <w:color w:val="1F497D" w:themeColor="text2"/>
                                <w:sz w:val="14"/>
                                <w:szCs w:val="14"/>
                              </w:rPr>
                              <w:t>)</w:t>
                            </w:r>
                          </w:p>
                        </w:txbxContent>
                      </v:textbox>
                    </v:shape>
                  </w:pict>
                </mc:Fallback>
              </mc:AlternateContent>
            </w:r>
            <w:r>
              <w:rPr>
                <w:rFonts w:ascii="Palatino Linotype" w:hAnsi="Palatino Linotype"/>
                <w:noProof/>
                <w:lang w:val="es-PE"/>
              </w:rPr>
              <w:drawing>
                <wp:inline distT="0" distB="0" distL="0" distR="0" wp14:anchorId="50E66512" wp14:editId="31C03CEE">
                  <wp:extent cx="2908300" cy="2425700"/>
                  <wp:effectExtent l="0" t="0" r="635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20" cy="2425717"/>
                          </a:xfrm>
                          <a:prstGeom prst="rect">
                            <a:avLst/>
                          </a:prstGeom>
                          <a:noFill/>
                          <a:ln>
                            <a:noFill/>
                          </a:ln>
                        </pic:spPr>
                      </pic:pic>
                    </a:graphicData>
                  </a:graphic>
                </wp:inline>
              </w:drawing>
            </w:r>
          </w:p>
        </w:tc>
        <w:tc>
          <w:tcPr>
            <w:tcW w:w="4126" w:type="dxa"/>
          </w:tcPr>
          <w:p w14:paraId="301CBF0D" w14:textId="77777777" w:rsidR="00734BFB" w:rsidRDefault="00734BFB" w:rsidP="00734BFB">
            <w:pPr>
              <w:jc w:val="center"/>
              <w:rPr>
                <w:rFonts w:ascii="Palatino Linotype" w:hAnsi="Palatino Linotype"/>
                <w:noProof/>
              </w:rPr>
            </w:pPr>
            <w:r>
              <w:rPr>
                <w:rFonts w:ascii="Palatino Linotype" w:hAnsi="Palatino Linotype"/>
                <w:noProof/>
                <w:lang w:val="es-PE"/>
              </w:rPr>
              <w:drawing>
                <wp:inline distT="0" distB="0" distL="0" distR="0" wp14:anchorId="36EE44B0" wp14:editId="6DCDDFB0">
                  <wp:extent cx="2482850" cy="1687201"/>
                  <wp:effectExtent l="0" t="0" r="0" b="82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5297" cy="1688864"/>
                          </a:xfrm>
                          <a:prstGeom prst="rect">
                            <a:avLst/>
                          </a:prstGeom>
                          <a:noFill/>
                          <a:ln>
                            <a:noFill/>
                          </a:ln>
                        </pic:spPr>
                      </pic:pic>
                    </a:graphicData>
                  </a:graphic>
                </wp:inline>
              </w:drawing>
            </w:r>
          </w:p>
        </w:tc>
      </w:tr>
    </w:tbl>
    <w:p w14:paraId="1ED601B9" w14:textId="4D46636B" w:rsidR="00734BFB" w:rsidRDefault="0040437B" w:rsidP="00734BFB">
      <w:pPr>
        <w:jc w:val="both"/>
        <w:rPr>
          <w:rFonts w:ascii="Palatino Linotype" w:hAnsi="Palatino Linotype"/>
        </w:rPr>
      </w:pP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130CE961" w14:textId="77777777" w:rsidR="00734BFB" w:rsidRDefault="00734BFB" w:rsidP="00734BFB">
      <w:pPr>
        <w:jc w:val="both"/>
        <w:rPr>
          <w:rFonts w:ascii="Palatino Linotype" w:hAnsi="Palatino Linotype"/>
        </w:rPr>
      </w:pPr>
      <w:r>
        <w:rPr>
          <w:rFonts w:ascii="Palatino Linotype" w:hAnsi="Palatino Linotype"/>
        </w:rPr>
        <w:lastRenderedPageBreak/>
        <w:t xml:space="preserve">Un segundo análisis es realizar regresiones multivariadas. En este caso se </w:t>
      </w:r>
      <w:r w:rsidRPr="00CE1CD9">
        <w:rPr>
          <w:rFonts w:ascii="Palatino Linotype" w:hAnsi="Palatino Linotype"/>
        </w:rPr>
        <w:t>incorporó el número</w:t>
      </w:r>
      <w:r>
        <w:rPr>
          <w:rFonts w:ascii="Palatino Linotype" w:hAnsi="Palatino Linotype"/>
        </w:rPr>
        <w:t xml:space="preserve"> de conflictos en cada uno de los meses. Luego de realizar la estimación por MCO se encontró que dicha variable es estadísticamente significativa y que ayuda a incrementar el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=0.88</m:t>
        </m:r>
      </m:oMath>
      <w:r>
        <w:rPr>
          <w:rFonts w:ascii="Palatino Linotype" w:hAnsi="Palatino Linotype"/>
        </w:rPr>
        <w:t xml:space="preserve"> (</w:t>
      </w:r>
      <w:r w:rsidRPr="00CE1CD9">
        <w:rPr>
          <w:rFonts w:ascii="Palatino Linotype" w:hAnsi="Palatino Linotype"/>
          <w:b/>
        </w:rPr>
        <w:t>modelo 6</w:t>
      </w:r>
      <w:r>
        <w:rPr>
          <w:rFonts w:ascii="Palatino Linotype" w:hAnsi="Palatino Linotype"/>
        </w:rPr>
        <w:t xml:space="preserve">). </w:t>
      </w:r>
    </w:p>
    <w:p w14:paraId="7161F98A" w14:textId="77777777" w:rsidR="00734BFB" w:rsidRPr="00554DC8" w:rsidRDefault="00FA44D6" w:rsidP="00734BFB">
      <w:pPr>
        <w:rPr>
          <w:rFonts w:ascii="Palatino Linotype" w:hAnsi="Palatino Linotype"/>
        </w:rPr>
      </w:pPr>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TI</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n_conflictos</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t</m:t>
              </m:r>
            </m:sub>
          </m:sSub>
        </m:oMath>
      </m:oMathPara>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117"/>
      </w:tblGrid>
      <w:tr w:rsidR="00734BFB" w14:paraId="0939BD72" w14:textId="77777777" w:rsidTr="0040437B">
        <w:trPr>
          <w:jc w:val="center"/>
        </w:trPr>
        <w:tc>
          <w:tcPr>
            <w:tcW w:w="4806" w:type="dxa"/>
          </w:tcPr>
          <w:p w14:paraId="56AF1207" w14:textId="77777777" w:rsidR="00734BFB" w:rsidRPr="00746FA8" w:rsidRDefault="00734BFB" w:rsidP="00734BFB">
            <w:pPr>
              <w:jc w:val="center"/>
              <w:rPr>
                <w:rFonts w:ascii="Palatino Linotype" w:hAnsi="Palatino Linotype"/>
                <w:b/>
              </w:rPr>
            </w:pPr>
            <w:r w:rsidRPr="00746FA8">
              <w:rPr>
                <w:rFonts w:ascii="Palatino Linotype" w:hAnsi="Palatino Linotype"/>
                <w:b/>
              </w:rPr>
              <w:t>Primera etapa del modelo</w:t>
            </w:r>
          </w:p>
        </w:tc>
        <w:tc>
          <w:tcPr>
            <w:tcW w:w="4117" w:type="dxa"/>
          </w:tcPr>
          <w:p w14:paraId="155369CB" w14:textId="09394A08" w:rsidR="00734BFB" w:rsidRPr="00746FA8" w:rsidRDefault="00734BFB" w:rsidP="00734BFB">
            <w:pPr>
              <w:jc w:val="center"/>
              <w:rPr>
                <w:rFonts w:ascii="Palatino Linotype" w:hAnsi="Palatino Linotype"/>
                <w:b/>
              </w:rPr>
            </w:pPr>
            <w:r>
              <w:rPr>
                <w:rFonts w:ascii="Palatino Linotype" w:hAnsi="Palatino Linotype"/>
                <w:b/>
              </w:rPr>
              <w:t>Modelo</w:t>
            </w:r>
            <w:r w:rsidR="0040437B">
              <w:rPr>
                <w:rFonts w:ascii="Palatino Linotype" w:hAnsi="Palatino Linotype"/>
                <w:b/>
              </w:rPr>
              <w:t xml:space="preserve"> </w:t>
            </w:r>
            <w:r>
              <w:rPr>
                <w:rFonts w:ascii="Palatino Linotype" w:hAnsi="Palatino Linotype"/>
                <w:b/>
              </w:rPr>
              <w:t>6</w:t>
            </w:r>
          </w:p>
          <w:p w14:paraId="3C0E3CA8" w14:textId="77777777" w:rsidR="00734BFB" w:rsidRPr="00391617" w:rsidRDefault="00734BFB" w:rsidP="00734BFB">
            <w:pPr>
              <w:jc w:val="center"/>
              <w:rPr>
                <w:rFonts w:ascii="Palatino Linotype" w:hAnsi="Palatino Linotype"/>
                <w:b/>
                <w:sz w:val="18"/>
                <w:szCs w:val="18"/>
              </w:rPr>
            </w:pPr>
            <w:r w:rsidRPr="00746FA8">
              <w:rPr>
                <w:rFonts w:ascii="Palatino Linotype" w:hAnsi="Palatino Linotype"/>
                <w:b/>
                <w:i/>
              </w:rPr>
              <w:t>Rendimiento-TI (sin constante)</w:t>
            </w:r>
          </w:p>
        </w:tc>
      </w:tr>
      <w:tr w:rsidR="00734BFB" w14:paraId="4397F7F7" w14:textId="77777777" w:rsidTr="0040437B">
        <w:trPr>
          <w:jc w:val="center"/>
        </w:trPr>
        <w:tc>
          <w:tcPr>
            <w:tcW w:w="4806" w:type="dxa"/>
          </w:tcPr>
          <w:p w14:paraId="07256BAD" w14:textId="77777777" w:rsidR="00734BFB" w:rsidRDefault="00734BFB" w:rsidP="00734BFB">
            <w:pPr>
              <w:jc w:val="center"/>
              <w:rPr>
                <w:rFonts w:ascii="Palatino Linotype" w:hAnsi="Palatino Linotype"/>
              </w:rPr>
            </w:pPr>
            <w:r>
              <w:rPr>
                <w:rFonts w:ascii="Palatino Linotype" w:hAnsi="Palatino Linotype"/>
                <w:noProof/>
                <w:lang w:val="es-PE"/>
              </w:rPr>
              <mc:AlternateContent>
                <mc:Choice Requires="wps">
                  <w:drawing>
                    <wp:anchor distT="0" distB="0" distL="114300" distR="114300" simplePos="0" relativeHeight="251707392" behindDoc="0" locked="0" layoutInCell="1" allowOverlap="1" wp14:anchorId="0E0B5548" wp14:editId="63D365AC">
                      <wp:simplePos x="0" y="0"/>
                      <wp:positionH relativeFrom="column">
                        <wp:posOffset>615315</wp:posOffset>
                      </wp:positionH>
                      <wp:positionV relativeFrom="paragraph">
                        <wp:posOffset>288290</wp:posOffset>
                      </wp:positionV>
                      <wp:extent cx="247650" cy="6350"/>
                      <wp:effectExtent l="0" t="76200" r="19050" b="107950"/>
                      <wp:wrapNone/>
                      <wp:docPr id="25" name="25 Conector recto de flecha"/>
                      <wp:cNvGraphicFramePr/>
                      <a:graphic xmlns:a="http://schemas.openxmlformats.org/drawingml/2006/main">
                        <a:graphicData uri="http://schemas.microsoft.com/office/word/2010/wordprocessingShape">
                          <wps:wsp>
                            <wps:cNvCnPr/>
                            <wps:spPr>
                              <a:xfrm flipV="1">
                                <a:off x="0" y="0"/>
                                <a:ext cx="247650" cy="63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8CCCA" id="25 Conector recto de flecha" o:spid="_x0000_s1026" type="#_x0000_t32" style="position:absolute;margin-left:48.45pt;margin-top:22.7pt;width:19.5pt;height:.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Xg+QEAAEcEAAAOAAAAZHJzL2Uyb0RvYy54bWysU02P0zAQvSPxHyzfadou7aKq6R66LBcE&#10;FQvcvc64seQvjU2T/nvGTpqyCxcQF8eO57158zyzveutYSfAqL2r+WI25wyc9I12x5p/+/rw5h1n&#10;MQnXCOMd1PwMkd/tXr/admEDS9960wAyInFx04WatymFTVVF2YIVceYDOLpUHq1IdMRj1aDoiN2a&#10;ajmfr6vOYxPQS4iR/t4Pl3xX+JUCmT4rFSExU3PSlsqKZX3Ka7Xbis0RRWi1HGWIf1BhhXaUdKK6&#10;F0mwH6h/o7Jaoo9epZn0tvJKaQmlBqpmMX9RzWMrApRayJwYJpvi/6OVn04HZLqp+XLFmROW3mi5&#10;Ynt6LJk8Mswf1gBTBmQrsl9diBuC7d0Bx1MMB8zF9wotBerwnVqh2EEFsr64fZ7chj4xST+Xb2/X&#10;K3oTSVfrG9oRWzWQZLKAMX0Ab1ne1DwmFPrYJlI2SBsSiNPHmAbgBZDBxrGu5jeL21WREb3RzYM2&#10;Jt+V3oK9QXYS1BWpX4yZn0Uloc1717B0DmSJQPTdGGYc6cwmDGWXXTobGPJ+AUV2UnmDvhfJhJTg&#10;0iWhcRSdYYqkTcD5IDlPwFXlc+AYn6FQmvxvwBOiZPYuTWCrncc/Zb96pIb4iwND3dmCJ9+cS0MU&#10;a6hby2OOk5XH4ddzgV/nf/cTAAD//wMAUEsDBBQABgAIAAAAIQCsnbJT3wAAAAgBAAAPAAAAZHJz&#10;L2Rvd25yZXYueG1sTI/BTsMwEETvSPyDtUhcUOsU0kBDnAohIdQKDrSVuLrxEkeJ11HstoGvZ3uC&#10;486MZt8Uy9F14ohDaDwpmE0TEEiVNw3VCnbbl8kDiBA1Gd15QgXfGGBZXl4UOjf+RB943MRacAmF&#10;XCuwMfa5lKGy6HSY+h6JvS8/OB35HGppBn3ictfJ2yTJpNMN8Qere3y2WLWbg1Pwuvu0q7d2Fdr1&#10;/U/9ftPqmXGZUtdX49MjiIhj/AvDGZ/RoWSmvT+QCaJTsMgWnFSQzlMQZ/9uzsKehSwFWRby/4Dy&#10;FwAA//8DAFBLAQItABQABgAIAAAAIQC2gziS/gAAAOEBAAATAAAAAAAAAAAAAAAAAAAAAABbQ29u&#10;dGVudF9UeXBlc10ueG1sUEsBAi0AFAAGAAgAAAAhADj9If/WAAAAlAEAAAsAAAAAAAAAAAAAAAAA&#10;LwEAAF9yZWxzLy5yZWxzUEsBAi0AFAAGAAgAAAAhAO9uFeD5AQAARwQAAA4AAAAAAAAAAAAAAAAA&#10;LgIAAGRycy9lMm9Eb2MueG1sUEsBAi0AFAAGAAgAAAAhAKydslPfAAAACAEAAA8AAAAAAAAAAAAA&#10;AAAAUwQAAGRycy9kb3ducmV2LnhtbFBLBQYAAAAABAAEAPMAAABfBQAAAAA=&#10;" strokecolor="black [3213]" strokeweight=".25pt">
                      <v:stroke endarrow="open"/>
                    </v:shape>
                  </w:pict>
                </mc:Fallback>
              </mc:AlternateContent>
            </w:r>
            <w:r>
              <w:rPr>
                <w:rFonts w:ascii="Palatino Linotype" w:hAnsi="Palatino Linotype"/>
                <w:noProof/>
                <w:lang w:val="es-PE"/>
              </w:rPr>
              <mc:AlternateContent>
                <mc:Choice Requires="wps">
                  <w:drawing>
                    <wp:anchor distT="0" distB="0" distL="114300" distR="114300" simplePos="0" relativeHeight="251702272" behindDoc="0" locked="0" layoutInCell="1" allowOverlap="1" wp14:anchorId="3FF0725E" wp14:editId="066055CC">
                      <wp:simplePos x="0" y="0"/>
                      <wp:positionH relativeFrom="column">
                        <wp:posOffset>107315</wp:posOffset>
                      </wp:positionH>
                      <wp:positionV relativeFrom="paragraph">
                        <wp:posOffset>115570</wp:posOffset>
                      </wp:positionV>
                      <wp:extent cx="787400" cy="387350"/>
                      <wp:effectExtent l="0" t="0" r="0" b="0"/>
                      <wp:wrapNone/>
                      <wp:docPr id="26" name="26 Cuadro de texto"/>
                      <wp:cNvGraphicFramePr/>
                      <a:graphic xmlns:a="http://schemas.openxmlformats.org/drawingml/2006/main">
                        <a:graphicData uri="http://schemas.microsoft.com/office/word/2010/wordprocessingShape">
                          <wps:wsp>
                            <wps:cNvSpPr txBox="1"/>
                            <wps:spPr>
                              <a:xfrm>
                                <a:off x="0" y="0"/>
                                <a:ext cx="787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52ECE" w14:textId="77777777" w:rsidR="001C045B" w:rsidRPr="00554DC8" w:rsidRDefault="001C045B" w:rsidP="00734BFB">
                                  <w:pPr>
                                    <w:jc w:val="center"/>
                                    <w:rPr>
                                      <w:b/>
                                      <w:color w:val="FF0000"/>
                                      <w:sz w:val="14"/>
                                      <w:szCs w:val="14"/>
                                    </w:rPr>
                                  </w:pPr>
                                  <w:r w:rsidRPr="00554DC8">
                                    <w:rPr>
                                      <w:b/>
                                      <w:color w:val="FF0000"/>
                                      <w:sz w:val="14"/>
                                      <w:szCs w:val="14"/>
                                    </w:rPr>
                                    <w:t>Rendimiento observado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0725E" id="26 Cuadro de texto" o:spid="_x0000_s1039" type="#_x0000_t202" style="position:absolute;left:0;text-align:left;margin-left:8.45pt;margin-top:9.1pt;width:62pt;height: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X2hQIAAHIFAAAOAAAAZHJzL2Uyb0RvYy54bWysVFFvGjEMfp+0/xDlfT2gFBjiqBhVp0lV&#10;W41OfQ65BE5L4iwJ3LFfPyd3B4ztpdNe7hz7i2P7sz27rbUie+F8CSan/aseJcJwKEqzyem3l/sP&#10;E0p8YKZgCozI6UF4ejt//25W2akYwBZUIRxBJ8ZPK5vTbQh2mmWeb4Vm/gqsMGiU4DQLeHSbrHCs&#10;Qu9aZYNeb5RV4ArrgAvvUXvXGOk8+ZdS8PAkpReBqJxibCF9Xfqu4zebz9h045jdlrwNg/1DFJqV&#10;Bh89urpjgZGdK/9wpUvuwIMMVxx0BlKWXKQcMJt+7yKb1ZZZkXLB4nh7LJP/f2754/7ZkbLI6WBE&#10;iWEaORqMyHLHCgekECSIOkAsU2X9FNEri/hQf4Ia6e70HpUx+1o6Hf+YF0E7FvxwLDL6IRyV48l4&#10;2EMLR9P1ZHx9k0jITpet8+GzAE2ikFOHHKbSsv2DDxgIQjtIfMvAfalU4lEZUuV0FF3+ZsEbykSN&#10;SB3RuokJNYEnKRyUiBhlvgqJFUnxR0XqRbFUjuwZdhHjXJiQUk9+ER1REoN4y8UWf4rqLZebPLqX&#10;wYTjZV0acCn7i7CL713IssFjIc/yjmKo13VqhX6iJKrWUByQbwfN4HjL70tk5YH58MwcTgoSidMf&#10;nvAjFWD1oZUo2YL7+Td9xGMDo5WSCicvp/7HjjlBifpisLU/9ofDOKrpMLwZD/Dgzi3rc4vZ6SUg&#10;LX3cM5YnMeKD6kTpQL/ikljEV9HEDMe3cxo6cRmafYBLhovFIoFwOC0LD2ZleXQdWYo991K/Mmfb&#10;xoyT8QjdjLLpRX822HjTwGIXQJapeU9VbQnAwU493S6huDnOzwl1WpXzXwAAAP//AwBQSwMEFAAG&#10;AAgAAAAhAIUsr+HfAAAACAEAAA8AAABkcnMvZG93bnJldi54bWxMj0FPwzAMhe9I/IfISNxYSgWj&#10;K02nqdKEhOCwsQs3t8naisQpTbYVfj3eaZys5/f0/LlYTs6KoxlD70nB/SwBYajxuqdWwe5jfZeB&#10;CBFJo/VkFPyYAMvy+qrAXPsTbcxxG1vBJRRyVNDFOORShqYzDsPMD4bY2/vRYWQ5tlKPeOJyZ2Wa&#10;JHPpsCe+0OFgqs40X9uDU/Bard9xU6cu+7XVy9t+NXzvPh+Vur2ZVs8gopniJQxnfEaHkplqfyAd&#10;hGU9X3CSZ5aCOPsPCS9qBU+LFGRZyP8PlH8AAAD//wMAUEsBAi0AFAAGAAgAAAAhALaDOJL+AAAA&#10;4QEAABMAAAAAAAAAAAAAAAAAAAAAAFtDb250ZW50X1R5cGVzXS54bWxQSwECLQAUAAYACAAAACEA&#10;OP0h/9YAAACUAQAACwAAAAAAAAAAAAAAAAAvAQAAX3JlbHMvLnJlbHNQSwECLQAUAAYACAAAACEA&#10;bDil9oUCAAByBQAADgAAAAAAAAAAAAAAAAAuAgAAZHJzL2Uyb0RvYy54bWxQSwECLQAUAAYACAAA&#10;ACEAhSyv4d8AAAAIAQAADwAAAAAAAAAAAAAAAADfBAAAZHJzL2Rvd25yZXYueG1sUEsFBgAAAAAE&#10;AAQA8wAAAOsFAAAAAA==&#10;" filled="f" stroked="f" strokeweight=".5pt">
                      <v:textbox>
                        <w:txbxContent>
                          <w:p w14:paraId="12D52ECE" w14:textId="77777777" w:rsidR="001C045B" w:rsidRPr="00554DC8" w:rsidRDefault="001C045B" w:rsidP="00734BFB">
                            <w:pPr>
                              <w:jc w:val="center"/>
                              <w:rPr>
                                <w:b/>
                                <w:color w:val="FF0000"/>
                                <w:sz w:val="14"/>
                                <w:szCs w:val="14"/>
                              </w:rPr>
                            </w:pPr>
                            <w:r w:rsidRPr="00554DC8">
                              <w:rPr>
                                <w:b/>
                                <w:color w:val="FF0000"/>
                                <w:sz w:val="14"/>
                                <w:szCs w:val="14"/>
                              </w:rPr>
                              <w:t>Rendimiento observado</w:t>
                            </w:r>
                          </w:p>
                        </w:txbxContent>
                      </v:textbox>
                    </v:shape>
                  </w:pict>
                </mc:Fallback>
              </mc:AlternateContent>
            </w:r>
            <w:r>
              <w:rPr>
                <w:rFonts w:ascii="Palatino Linotype" w:hAnsi="Palatino Linotype"/>
                <w:noProof/>
                <w:lang w:val="es-PE"/>
              </w:rPr>
              <mc:AlternateContent>
                <mc:Choice Requires="wps">
                  <w:drawing>
                    <wp:anchor distT="0" distB="0" distL="114300" distR="114300" simplePos="0" relativeHeight="251706368" behindDoc="0" locked="0" layoutInCell="1" allowOverlap="1" wp14:anchorId="38C817D3" wp14:editId="6F46D3A3">
                      <wp:simplePos x="0" y="0"/>
                      <wp:positionH relativeFrom="column">
                        <wp:posOffset>2025015</wp:posOffset>
                      </wp:positionH>
                      <wp:positionV relativeFrom="paragraph">
                        <wp:posOffset>1240790</wp:posOffset>
                      </wp:positionV>
                      <wp:extent cx="6350" cy="304800"/>
                      <wp:effectExtent l="76200" t="38100" r="69850" b="19050"/>
                      <wp:wrapNone/>
                      <wp:docPr id="27" name="27 Conector recto de flecha"/>
                      <wp:cNvGraphicFramePr/>
                      <a:graphic xmlns:a="http://schemas.openxmlformats.org/drawingml/2006/main">
                        <a:graphicData uri="http://schemas.microsoft.com/office/word/2010/wordprocessingShape">
                          <wps:wsp>
                            <wps:cNvCnPr/>
                            <wps:spPr>
                              <a:xfrm flipV="1">
                                <a:off x="0" y="0"/>
                                <a:ext cx="6350" cy="30480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D3B194" id="27 Conector recto de flecha" o:spid="_x0000_s1026" type="#_x0000_t32" style="position:absolute;margin-left:159.45pt;margin-top:97.7pt;width:.5pt;height:24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v/+wEAAEcEAAAOAAAAZHJzL2Uyb0RvYy54bWysU8tu2zAQvBfoPxC815KdJg4Myzk4TS9F&#10;a/SRO0MtLQJ8Ycla8t93Sdlyk/aSohdJFHdmZ4bL9d1gDTsARu1dw+ezmjNw0rfa7Rv+4/vDu1vO&#10;YhKuFcY7aPgRIr/bvH2z7sMKFr7zpgVkROLiqg8N71IKq6qKsgMr4swHcLSpPFqRaIn7qkXRE7s1&#10;1aKub6reYxvQS4iR/t6Pm3xT+JUCmb4oFSEx03DSlsoTy/MpP6vNWqz2KEKn5UmG+AcVVmhHTSeq&#10;e5EE+4n6DyqrJfroVZpJbyuvlJZQPJCbef3CzbdOBCheKJwYppji/6OVnw87ZLpt+GLJmROWzmix&#10;ZFs6LJk8Mswv1gJTBmQncl59iCuCbd0OT6sYdpjNDwotFerwSKNQ4iCDbChpH6e0YUhM0s+bq2s6&#10;EUkbV/X727qcRTWSZLKAMX0Eb1n+aHhMKPS+S6RslDY2EIdPMZEMAp4BGWwc64l3vrwuMqI3un3Q&#10;xuS9MluwNcgOgqYiDfPsigieVSWhzQfXsnQMFIlA9P2pzDiqziGMtstXOhoY+34FRXGSvVHfi2ZC&#10;SnDp3NA4qs4wRdImYD1KzjfgovI58FSfoVCG/DXgCVE6e5cmsNXO49+6XzJSY/05gdF3juDJt8cy&#10;ECUamtYS6elm5evw+7rAL/d/8wsAAP//AwBQSwMEFAAGAAgAAAAhAPfVslTiAAAACwEAAA8AAABk&#10;cnMvZG93bnJldi54bWxMj8FKw0AQhu+C77CM4EXsJk1sm5hNEUGkogfbgtdtdkxCsrMhu22jT+94&#10;0uPM//HPN8V6sr044ehbRwriWQQCqXKmpVrBfvd0uwLhgyaje0eo4As9rMvLi0Lnxp3pHU/bUAsu&#10;IZ9rBU0IQy6lrxq02s/cgMTZpxutDjyOtTSjPnO57eU8ihbS6pb4QqMHfGyw6rZHq+B5/9FsXruN&#10;716W3/XbTadjYxdKXV9ND/cgAk7hD4ZffVaHkp0O7kjGi15BEq8yRjnI7lIQTCRxxpuDgnmapCDL&#10;Qv7/ofwBAAD//wMAUEsBAi0AFAAGAAgAAAAhALaDOJL+AAAA4QEAABMAAAAAAAAAAAAAAAAAAAAA&#10;AFtDb250ZW50X1R5cGVzXS54bWxQSwECLQAUAAYACAAAACEAOP0h/9YAAACUAQAACwAAAAAAAAAA&#10;AAAAAAAvAQAAX3JlbHMvLnJlbHNQSwECLQAUAAYACAAAACEAGFVr//sBAABHBAAADgAAAAAAAAAA&#10;AAAAAAAuAgAAZHJzL2Uyb0RvYy54bWxQSwECLQAUAAYACAAAACEA99WyVOIAAAALAQAADwAAAAAA&#10;AAAAAAAAAABVBAAAZHJzL2Rvd25yZXYueG1sUEsFBgAAAAAEAAQA8wAAAGQFAAAAAA==&#10;" strokecolor="black [3213]" strokeweight=".25pt">
                      <v:stroke endarrow="open"/>
                    </v:shape>
                  </w:pict>
                </mc:Fallback>
              </mc:AlternateContent>
            </w:r>
            <w:r>
              <w:rPr>
                <w:rFonts w:ascii="Palatino Linotype" w:hAnsi="Palatino Linotype"/>
                <w:noProof/>
                <w:lang w:val="es-PE"/>
              </w:rPr>
              <mc:AlternateContent>
                <mc:Choice Requires="wps">
                  <w:drawing>
                    <wp:anchor distT="0" distB="0" distL="114300" distR="114300" simplePos="0" relativeHeight="251703296" behindDoc="0" locked="0" layoutInCell="1" allowOverlap="1" wp14:anchorId="0B321A31" wp14:editId="1C237496">
                      <wp:simplePos x="0" y="0"/>
                      <wp:positionH relativeFrom="column">
                        <wp:posOffset>1917065</wp:posOffset>
                      </wp:positionH>
                      <wp:positionV relativeFrom="paragraph">
                        <wp:posOffset>109220</wp:posOffset>
                      </wp:positionV>
                      <wp:extent cx="787400" cy="387350"/>
                      <wp:effectExtent l="0" t="0" r="0" b="0"/>
                      <wp:wrapNone/>
                      <wp:docPr id="28" name="28 Cuadro de texto"/>
                      <wp:cNvGraphicFramePr/>
                      <a:graphic xmlns:a="http://schemas.openxmlformats.org/drawingml/2006/main">
                        <a:graphicData uri="http://schemas.microsoft.com/office/word/2010/wordprocessingShape">
                          <wps:wsp>
                            <wps:cNvSpPr txBox="1"/>
                            <wps:spPr>
                              <a:xfrm>
                                <a:off x="0" y="0"/>
                                <a:ext cx="787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D3C38" w14:textId="77777777" w:rsidR="001C045B" w:rsidRPr="00554DC8" w:rsidRDefault="001C045B" w:rsidP="00734BFB">
                                  <w:pPr>
                                    <w:jc w:val="center"/>
                                    <w:rPr>
                                      <w:b/>
                                      <w:color w:val="4F6228" w:themeColor="accent3" w:themeShade="80"/>
                                      <w:sz w:val="14"/>
                                      <w:szCs w:val="14"/>
                                    </w:rPr>
                                  </w:pPr>
                                  <w:r w:rsidRPr="00554DC8">
                                    <w:rPr>
                                      <w:b/>
                                      <w:color w:val="4F6228" w:themeColor="accent3" w:themeShade="80"/>
                                      <w:sz w:val="14"/>
                                      <w:szCs w:val="14"/>
                                    </w:rPr>
                                    <w:t>Rendimiento estimado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1A31" id="28 Cuadro de texto" o:spid="_x0000_s1040" type="#_x0000_t202" style="position:absolute;left:0;text-align:left;margin-left:150.95pt;margin-top:8.6pt;width:62pt;height: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TmhQIAAHIFAAAOAAAAZHJzL2Uyb0RvYy54bWysVFFvGjEMfp+0/xDlfRxQWhjiqBgV0yTU&#10;VmunPodcAqclcZYE7tivn5O7A9btpdNe7hz7i2P7sz27rbUiB+F8CSang16fEmE4FKXZ5vTb8+rD&#10;hBIfmCmYAiNyehSe3s7fv5tVdiqGsANVCEfQifHTyuZ0F4KdZpnnO6GZ74EVBo0SnGYBj26bFY5V&#10;6F2rbNjv32QVuMI64MJ71N41RjpP/qUUPDxI6UUgKqcYW0hfl76b+M3mMzbdOmZ3JW/DYP8QhWal&#10;wUdPru5YYGTvyj9c6ZI78CBDj4POQMqSi5QDZjPov8rmacesSLlgcbw9lcn/P7f8/vDoSFnkdIhM&#10;GaaRo+GELPescEAKQYKoA8QyVdZPEf1kER/qT1Aj3Z3eozJmX0un4x/zImjHgh9PRUY/hKNyPBmP&#10;+mjhaLqajK+uEwnZ+bJ1PnwWoEkUcuqQw1Radlj7gIEgtIPEtwysSqUSj8qQKqc30eVvFryhTNSI&#10;1BGtm5hQE3iSwlGJiFHmq5BYkRR/VKReFEvlyIFhFzHOhQkp9eQX0RElMYi3XGzx56jecrnJo3sZ&#10;TDhd1qUBl7J/FXbxvQtZNngs5EXeUQz1pk6tMDgRu4HiiHw7aAbHW74qkZU18+GROZwUJBKnPzzg&#10;RyrA6kMrUbID9/Nv+ojHBkYrJRVOXk79jz1zghL1xWBrfxyMRnFU02F0PR7iwV1aNpcWs9dLQFoG&#10;uGcsT2LEB9WJ0oF+wSWxiK+iiRmOb+c0dOIyNPsAlwwXi0UC4XBaFtbmyfLoOrIUe+65fmHOto0Z&#10;J+Meuhll01f92WDjTQOLfQBZpuaNhW6q2hKAg516ul1CcXNcnhPqvCrnvwAAAP//AwBQSwMEFAAG&#10;AAgAAAAhAFyyh3zgAAAACQEAAA8AAABkcnMvZG93bnJldi54bWxMj8FOwzAMhu9IvENkJG4sXWCs&#10;lKbTVGlCQnDY2IVb2nhtReOUJtsKT485wdH+P/3+nK8m14sTjqHzpGE+S0Ag1d521GjYv21uUhAh&#10;GrKm94QavjDAqri8yE1m/Zm2eNrFRnAJhcxoaGMcMilD3aIzYeYHJM4OfnQm8jg20o7mzOWulypJ&#10;7qUzHfGF1gxYtlh/7I5Ow3O5eTXbSrn0uy+fXg7r4XP/vtD6+mpaP4KIOMU/GH71WR0Kdqr8kWwQ&#10;vYbbZP7AKAdLBYKBO7XgRaVhmSqQRS7/f1D8AAAA//8DAFBLAQItABQABgAIAAAAIQC2gziS/gAA&#10;AOEBAAATAAAAAAAAAAAAAAAAAAAAAABbQ29udGVudF9UeXBlc10ueG1sUEsBAi0AFAAGAAgAAAAh&#10;ADj9If/WAAAAlAEAAAsAAAAAAAAAAAAAAAAALwEAAF9yZWxzLy5yZWxzUEsBAi0AFAAGAAgAAAAh&#10;AEfQlOaFAgAAcgUAAA4AAAAAAAAAAAAAAAAALgIAAGRycy9lMm9Eb2MueG1sUEsBAi0AFAAGAAgA&#10;AAAhAFyyh3zgAAAACQEAAA8AAAAAAAAAAAAAAAAA3wQAAGRycy9kb3ducmV2LnhtbFBLBQYAAAAA&#10;BAAEAPMAAADsBQAAAAA=&#10;" filled="f" stroked="f" strokeweight=".5pt">
                      <v:textbox>
                        <w:txbxContent>
                          <w:p w14:paraId="723D3C38" w14:textId="77777777" w:rsidR="001C045B" w:rsidRPr="00554DC8" w:rsidRDefault="001C045B" w:rsidP="00734BFB">
                            <w:pPr>
                              <w:jc w:val="center"/>
                              <w:rPr>
                                <w:b/>
                                <w:color w:val="4F6228" w:themeColor="accent3" w:themeShade="80"/>
                                <w:sz w:val="14"/>
                                <w:szCs w:val="14"/>
                              </w:rPr>
                            </w:pPr>
                            <w:r w:rsidRPr="00554DC8">
                              <w:rPr>
                                <w:b/>
                                <w:color w:val="4F6228" w:themeColor="accent3" w:themeShade="80"/>
                                <w:sz w:val="14"/>
                                <w:szCs w:val="14"/>
                              </w:rPr>
                              <w:t>Rendimiento estimado</w:t>
                            </w:r>
                          </w:p>
                        </w:txbxContent>
                      </v:textbox>
                    </v:shape>
                  </w:pict>
                </mc:Fallback>
              </mc:AlternateContent>
            </w:r>
            <w:r>
              <w:rPr>
                <w:rFonts w:ascii="Palatino Linotype" w:hAnsi="Palatino Linotype"/>
                <w:noProof/>
                <w:lang w:val="es-PE"/>
              </w:rPr>
              <mc:AlternateContent>
                <mc:Choice Requires="wps">
                  <w:drawing>
                    <wp:anchor distT="0" distB="0" distL="114300" distR="114300" simplePos="0" relativeHeight="251704320" behindDoc="0" locked="0" layoutInCell="1" allowOverlap="1" wp14:anchorId="173C6D78" wp14:editId="0440594F">
                      <wp:simplePos x="0" y="0"/>
                      <wp:positionH relativeFrom="column">
                        <wp:posOffset>2298065</wp:posOffset>
                      </wp:positionH>
                      <wp:positionV relativeFrom="paragraph">
                        <wp:posOffset>388620</wp:posOffset>
                      </wp:positionV>
                      <wp:extent cx="0" cy="260350"/>
                      <wp:effectExtent l="95250" t="0" r="57150" b="63500"/>
                      <wp:wrapNone/>
                      <wp:docPr id="29" name="29 Conector recto de flecha"/>
                      <wp:cNvGraphicFramePr/>
                      <a:graphic xmlns:a="http://schemas.openxmlformats.org/drawingml/2006/main">
                        <a:graphicData uri="http://schemas.microsoft.com/office/word/2010/wordprocessingShape">
                          <wps:wsp>
                            <wps:cNvCnPr/>
                            <wps:spPr>
                              <a:xfrm>
                                <a:off x="0" y="0"/>
                                <a:ext cx="0" cy="2603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94915" id="29 Conector recto de flecha" o:spid="_x0000_s1026" type="#_x0000_t32" style="position:absolute;margin-left:180.95pt;margin-top:30.6pt;width:0;height:2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Ww7wEAADoEAAAOAAAAZHJzL2Uyb0RvYy54bWysU8tu2zAQvBfoPxC815IdJG0Myzk4TS9F&#10;a/TxAQy1tAjwhSVrSX/fJWXLTdpLg1z43NmdGS43d4M17AgYtXcNXy5qzsBJ32p3aPjPHw/vPnAW&#10;k3CtMN5Bw0eI/G779s2mD2tY+c6bFpBREhfXfWh4l1JYV1WUHVgRFz6Ao0vl0YpEWzxULYqesltT&#10;rer6puo9tgG9hBjp9H665NuSXymQ6atSERIzDSduqYxYxsc8VtuNWB9QhE7LEw3xAhZWaEdF51T3&#10;Ign2C/VfqayW6KNXaSG9rbxSWkLRQGqW9TM13zsRoGghc2KYbYqvl1Z+Oe6R6bbhq1vOnLD0Rqtb&#10;tqPHkskjwzyxFpgyIDuR/epDXBNs5/Z42sWwxyx+UGjzTLLYUDweZ49hSExOh5JOVzf11XWxv7rg&#10;Asb0CbxledHwmFDoQ5eIzMRmWSwWx88xUWUCngG5qHGsb/jV8v11iYre6PZBG5PvSjvBziA7CmqE&#10;NCyzEErwJCoJbT66lqUxkAsC0fenMOMoOuuelJZVGg1Mdb+BIgdJ28TvWTEhJbh0LmgcRWeYImoz&#10;sJ4o56a/sHwKPMVnKJS+/h/wjCiVvUsz2Grn8V/VLx6pKf7swKQ7W/Do27H0QLGGGrRYevpM+Qf8&#10;uS/wy5ff/gYAAP//AwBQSwMEFAAGAAgAAAAhAG+alJrdAAAACgEAAA8AAABkcnMvZG93bnJldi54&#10;bWxMj01PwzAMhu9I/IfISNxY0gIFStMJkEDiNsaHOGaJaas1Tmmyrvx7jDjA0faj189bLWffiwnH&#10;2AXSkC0UCCQbXEeNhpfn+5NLEDEZcqYPhBq+MMKyPjyoTOnCnp5wWqdGcAjF0mhoUxpKKaNt0Zu4&#10;CAMS3z7C6E3icWykG82ew30vc6UK6U1H/KE1A961aLfrneeU1Zm12cO5U28X28dXev8Mt1Oh9fHR&#10;fHMNIuGc/mD40Wd1qNlpE3bkoug1nBbZFaMaiiwHwcDvYsOkynOQdSX/V6i/AQAA//8DAFBLAQIt&#10;ABQABgAIAAAAIQC2gziS/gAAAOEBAAATAAAAAAAAAAAAAAAAAAAAAABbQ29udGVudF9UeXBlc10u&#10;eG1sUEsBAi0AFAAGAAgAAAAhADj9If/WAAAAlAEAAAsAAAAAAAAAAAAAAAAALwEAAF9yZWxzLy5y&#10;ZWxzUEsBAi0AFAAGAAgAAAAhAE5TNbDvAQAAOgQAAA4AAAAAAAAAAAAAAAAALgIAAGRycy9lMm9E&#10;b2MueG1sUEsBAi0AFAAGAAgAAAAhAG+alJrdAAAACgEAAA8AAAAAAAAAAAAAAAAASQQAAGRycy9k&#10;b3ducmV2LnhtbFBLBQYAAAAABAAEAPMAAABTBQAAAAA=&#10;" strokecolor="black [3213]" strokeweight=".25pt">
                      <v:stroke endarrow="open"/>
                    </v:shape>
                  </w:pict>
                </mc:Fallback>
              </mc:AlternateContent>
            </w:r>
            <w:r>
              <w:rPr>
                <w:rFonts w:ascii="Palatino Linotype" w:hAnsi="Palatino Linotype"/>
                <w:noProof/>
                <w:lang w:val="es-PE"/>
              </w:rPr>
              <mc:AlternateContent>
                <mc:Choice Requires="wps">
                  <w:drawing>
                    <wp:anchor distT="0" distB="0" distL="114300" distR="114300" simplePos="0" relativeHeight="251705344" behindDoc="0" locked="0" layoutInCell="1" allowOverlap="1" wp14:anchorId="33AECE78" wp14:editId="54338FDC">
                      <wp:simplePos x="0" y="0"/>
                      <wp:positionH relativeFrom="column">
                        <wp:posOffset>1656715</wp:posOffset>
                      </wp:positionH>
                      <wp:positionV relativeFrom="paragraph">
                        <wp:posOffset>1474470</wp:posOffset>
                      </wp:positionV>
                      <wp:extent cx="787400" cy="387350"/>
                      <wp:effectExtent l="0" t="0" r="0" b="0"/>
                      <wp:wrapNone/>
                      <wp:docPr id="30" name="30 Cuadro de texto"/>
                      <wp:cNvGraphicFramePr/>
                      <a:graphic xmlns:a="http://schemas.openxmlformats.org/drawingml/2006/main">
                        <a:graphicData uri="http://schemas.microsoft.com/office/word/2010/wordprocessingShape">
                          <wps:wsp>
                            <wps:cNvSpPr txBox="1"/>
                            <wps:spPr>
                              <a:xfrm>
                                <a:off x="0" y="0"/>
                                <a:ext cx="78740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E5EBB" w14:textId="77777777" w:rsidR="001C045B" w:rsidRPr="00554DC8" w:rsidRDefault="001C045B" w:rsidP="00734BFB">
                                  <w:pPr>
                                    <w:jc w:val="center"/>
                                    <w:rPr>
                                      <w:b/>
                                      <w:color w:val="1F497D" w:themeColor="text2"/>
                                      <w:sz w:val="14"/>
                                      <w:szCs w:val="14"/>
                                    </w:rPr>
                                  </w:pPr>
                                  <w:r w:rsidRPr="00554DC8">
                                    <w:rPr>
                                      <w:b/>
                                      <w:color w:val="1F497D" w:themeColor="text2"/>
                                      <w:sz w:val="14"/>
                                      <w:szCs w:val="14"/>
                                    </w:rPr>
                                    <w:t>Error (</w:t>
                                  </w:r>
                                  <m:oMath>
                                    <m:sSub>
                                      <m:sSubPr>
                                        <m:ctrlPr>
                                          <w:rPr>
                                            <w:rFonts w:ascii="Cambria Math" w:hAnsi="Cambria Math"/>
                                            <w:i/>
                                            <w:color w:val="1F497D" w:themeColor="text2"/>
                                            <w:sz w:val="14"/>
                                            <w:szCs w:val="14"/>
                                          </w:rPr>
                                        </m:ctrlPr>
                                      </m:sSubPr>
                                      <m:e>
                                        <m:r>
                                          <w:rPr>
                                            <w:rFonts w:ascii="Cambria Math" w:hAnsi="Cambria Math"/>
                                            <w:color w:val="1F497D" w:themeColor="text2"/>
                                            <w:sz w:val="14"/>
                                            <w:szCs w:val="14"/>
                                          </w:rPr>
                                          <m:t>μ</m:t>
                                        </m:r>
                                      </m:e>
                                      <m:sub>
                                        <m:r>
                                          <w:rPr>
                                            <w:rFonts w:ascii="Cambria Math" w:hAnsi="Cambria Math"/>
                                            <w:color w:val="1F497D" w:themeColor="text2"/>
                                            <w:sz w:val="14"/>
                                            <w:szCs w:val="14"/>
                                          </w:rPr>
                                          <m:t>t</m:t>
                                        </m:r>
                                      </m:sub>
                                    </m:sSub>
                                  </m:oMath>
                                  <w:r w:rsidRPr="00554DC8">
                                    <w:rPr>
                                      <w:b/>
                                      <w:color w:val="1F497D" w:themeColor="text2"/>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CE78" id="30 Cuadro de texto" o:spid="_x0000_s1041" type="#_x0000_t202" style="position:absolute;left:0;text-align:left;margin-left:130.45pt;margin-top:116.1pt;width:62pt;height: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WehAIAAHIFAAAOAAAAZHJzL2Uyb0RvYy54bWysVEtv2zAMvg/YfxB0X51Xmy6IU2QpOgwo&#10;2mLt0LMiS40xWdQkJnb260fJdpJ1u3TYxabIT5/4nl81lWE75UMJNufDswFnykooSvuS829PNx8u&#10;OQsobCEMWJXzvQr8avH+3bx2MzWCDZhCeUYkNsxql/MNoptlWZAbVYlwBk5ZMmrwlUA6+pes8KIm&#10;9spko8HgIqvBF86DVCGQ9ro18kXi11pJvNc6KGQm5+Qbpq9P33X8Zou5mL144Tal7NwQ/+BFJUpL&#10;jx6orgUKtvXlH1RVKT0E0HgmocpA61KqFANFMxy8iuZxI5xKsVBygjukKfw/Wnm3e/CsLHI+pvRY&#10;UVGNxgO22orCAysUQ9UgxDTVLswI/egIj80naKjcvT6QMkbfaF/FP8XFyE6M+0OSiYdJUk4vp5MB&#10;WSSZxpfT8XkqQna87HzAzwoqFoWce6phSq3Y3QYkRwjaQ+JbFm5KY1IdjWV1zi8i5W8WumFs1KjU&#10;ER1NDKh1PEm4NypijP2qNGUk+R8VqRfVyni2E9RFQkplMYWeeAkdUZqceMvFDn/06i2X2zj6l8Hi&#10;4XJVWvAp+lduF997l3WLp0SexB1FbNZNaoXhqC/sGoo91dtDOzjByZuSqnIrAj4IT5NChaTpx3v6&#10;aAOUfegkzjbgf/5NH/HUwGTlrKbJy3n4sRVecWa+WGrtj8PJhGgxHSbn0xEd/KllfWqx22oFVJYh&#10;7RknkxjxaHpRe6ieaUks46tkElbS2znHXlxhuw9oyUi1XCYQDacTeGsfnYzUsUqx556aZ+Fd15hx&#10;Mu6gn1Exe9WfLTbetLDcIugyNW9MdJvVrgA02KmnuyUUN8fpOaGOq3LxCwAA//8DAFBLAwQUAAYA&#10;CAAAACEATX1vb+IAAAALAQAADwAAAGRycy9kb3ducmV2LnhtbEyPzU7DMBCE70i8g7VI3KhTB6o0&#10;xKmqSBUSgkNLL9w2sZtE9U+I3Tbw9CynctudGc1+W6wma9hZj6H3TsJ8lgDTrvGqd62E/cfmIQMW&#10;IjqFxjst4VsHWJW3NwXmyl/cVp93sWVU4kKOEroYh5zz0HTaYpj5QTvyDn60GGkdW65GvFC5NVwk&#10;yYJb7B1d6HDQVaeb4+5kJbxWm3fc1sJmP6Z6eTush6/955OU93fT+hlY1FO8huEPn9ChJKban5wK&#10;zEgQi2RJURpSIYBRIs0eSalJWaYCeFnw/z+UvwAAAP//AwBQSwECLQAUAAYACAAAACEAtoM4kv4A&#10;AADhAQAAEwAAAAAAAAAAAAAAAAAAAAAAW0NvbnRlbnRfVHlwZXNdLnhtbFBLAQItABQABgAIAAAA&#10;IQA4/SH/1gAAAJQBAAALAAAAAAAAAAAAAAAAAC8BAABfcmVscy8ucmVsc1BLAQItABQABgAIAAAA&#10;IQDJaEWehAIAAHIFAAAOAAAAAAAAAAAAAAAAAC4CAABkcnMvZTJvRG9jLnhtbFBLAQItABQABgAI&#10;AAAAIQBNfW9v4gAAAAsBAAAPAAAAAAAAAAAAAAAAAN4EAABkcnMvZG93bnJldi54bWxQSwUGAAAA&#10;AAQABADzAAAA7QUAAAAA&#10;" filled="f" stroked="f" strokeweight=".5pt">
                      <v:textbox>
                        <w:txbxContent>
                          <w:p w14:paraId="49EE5EBB" w14:textId="77777777" w:rsidR="001C045B" w:rsidRPr="00554DC8" w:rsidRDefault="001C045B" w:rsidP="00734BFB">
                            <w:pPr>
                              <w:jc w:val="center"/>
                              <w:rPr>
                                <w:b/>
                                <w:color w:val="1F497D" w:themeColor="text2"/>
                                <w:sz w:val="14"/>
                                <w:szCs w:val="14"/>
                              </w:rPr>
                            </w:pPr>
                            <w:r w:rsidRPr="00554DC8">
                              <w:rPr>
                                <w:b/>
                                <w:color w:val="1F497D" w:themeColor="text2"/>
                                <w:sz w:val="14"/>
                                <w:szCs w:val="14"/>
                              </w:rPr>
                              <w:t>Error (</w:t>
                            </w:r>
                            <m:oMath>
                              <m:sSub>
                                <m:sSubPr>
                                  <m:ctrlPr>
                                    <w:rPr>
                                      <w:rFonts w:ascii="Cambria Math" w:hAnsi="Cambria Math"/>
                                      <w:i/>
                                      <w:color w:val="1F497D" w:themeColor="text2"/>
                                      <w:sz w:val="14"/>
                                      <w:szCs w:val="14"/>
                                    </w:rPr>
                                  </m:ctrlPr>
                                </m:sSubPr>
                                <m:e>
                                  <m:r>
                                    <w:rPr>
                                      <w:rFonts w:ascii="Cambria Math" w:hAnsi="Cambria Math"/>
                                      <w:color w:val="1F497D" w:themeColor="text2"/>
                                      <w:sz w:val="14"/>
                                      <w:szCs w:val="14"/>
                                    </w:rPr>
                                    <m:t>μ</m:t>
                                  </m:r>
                                </m:e>
                                <m:sub>
                                  <m:r>
                                    <w:rPr>
                                      <w:rFonts w:ascii="Cambria Math" w:hAnsi="Cambria Math"/>
                                      <w:color w:val="1F497D" w:themeColor="text2"/>
                                      <w:sz w:val="14"/>
                                      <w:szCs w:val="14"/>
                                    </w:rPr>
                                    <m:t>t</m:t>
                                  </m:r>
                                </m:sub>
                              </m:sSub>
                            </m:oMath>
                            <w:r w:rsidRPr="00554DC8">
                              <w:rPr>
                                <w:b/>
                                <w:color w:val="1F497D" w:themeColor="text2"/>
                                <w:sz w:val="14"/>
                                <w:szCs w:val="14"/>
                              </w:rPr>
                              <w:t>)</w:t>
                            </w:r>
                          </w:p>
                        </w:txbxContent>
                      </v:textbox>
                    </v:shape>
                  </w:pict>
                </mc:Fallback>
              </mc:AlternateContent>
            </w:r>
            <w:r>
              <w:rPr>
                <w:rFonts w:ascii="Palatino Linotype" w:hAnsi="Palatino Linotype"/>
                <w:noProof/>
                <w:lang w:val="es-PE"/>
              </w:rPr>
              <w:drawing>
                <wp:inline distT="0" distB="0" distL="0" distR="0" wp14:anchorId="5922C296" wp14:editId="258FE244">
                  <wp:extent cx="2794000" cy="2216150"/>
                  <wp:effectExtent l="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4000" cy="2216150"/>
                          </a:xfrm>
                          <a:prstGeom prst="rect">
                            <a:avLst/>
                          </a:prstGeom>
                          <a:noFill/>
                          <a:ln>
                            <a:noFill/>
                          </a:ln>
                        </pic:spPr>
                      </pic:pic>
                    </a:graphicData>
                  </a:graphic>
                </wp:inline>
              </w:drawing>
            </w:r>
          </w:p>
        </w:tc>
        <w:tc>
          <w:tcPr>
            <w:tcW w:w="4117" w:type="dxa"/>
          </w:tcPr>
          <w:p w14:paraId="41A0743C" w14:textId="77777777" w:rsidR="00734BFB" w:rsidRDefault="00734BFB" w:rsidP="00734BFB">
            <w:pPr>
              <w:jc w:val="center"/>
              <w:rPr>
                <w:rFonts w:ascii="Palatino Linotype" w:hAnsi="Palatino Linotype"/>
                <w:noProof/>
              </w:rPr>
            </w:pPr>
            <w:r>
              <w:object w:dxaOrig="6555" w:dyaOrig="4950" w14:anchorId="64873053">
                <v:shape id="_x0000_i1029" type="#_x0000_t75" style="width:195pt;height:147pt" o:ole="">
                  <v:imagedata r:id="rId21" o:title=""/>
                </v:shape>
                <o:OLEObject Type="Embed" ProgID="PBrush" ShapeID="_x0000_i1029" DrawAspect="Content" ObjectID="_1491559757" r:id="rId22"/>
              </w:object>
            </w:r>
          </w:p>
        </w:tc>
      </w:tr>
    </w:tbl>
    <w:p w14:paraId="38109439" w14:textId="2060D391" w:rsidR="00734BFB" w:rsidRDefault="0040437B" w:rsidP="00734BFB">
      <w:pPr>
        <w:jc w:val="both"/>
        <w:rPr>
          <w:rFonts w:ascii="Palatino Linotype" w:hAnsi="Palatino Linotype"/>
        </w:rPr>
      </w:pP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6F133236" w14:textId="77777777" w:rsidR="00734BFB" w:rsidRDefault="00734BFB" w:rsidP="00734BFB">
      <w:pPr>
        <w:jc w:val="both"/>
        <w:rPr>
          <w:rFonts w:ascii="Palatino Linotype" w:hAnsi="Palatino Linotype"/>
        </w:rPr>
      </w:pPr>
      <w:r w:rsidRPr="00CE1CD9">
        <w:rPr>
          <w:rFonts w:ascii="Palatino Linotype" w:hAnsi="Palatino Linotype"/>
          <w:b/>
        </w:rPr>
        <w:t>Con respecto a la segunda etapa</w:t>
      </w:r>
      <w:r w:rsidRPr="00CE1CD9">
        <w:rPr>
          <w:rFonts w:ascii="Palatino Linotype" w:hAnsi="Palatino Linotype"/>
        </w:rPr>
        <w:t xml:space="preserve">: </w:t>
      </w:r>
      <w:r>
        <w:rPr>
          <w:rFonts w:ascii="Palatino Linotype" w:hAnsi="Palatino Linotype"/>
        </w:rPr>
        <w:t xml:space="preserve">La variable </w:t>
      </w:r>
      <m:oMath>
        <m:sSub>
          <m:sSubPr>
            <m:ctrlPr>
              <w:rPr>
                <w:rFonts w:ascii="Cambria Math" w:hAnsi="Cambria Math"/>
                <w:i/>
              </w:rPr>
            </m:ctrlPr>
          </m:sSubPr>
          <m:e>
            <m:r>
              <w:rPr>
                <w:rFonts w:ascii="Cambria Math" w:hAnsi="Cambria Math"/>
              </w:rPr>
              <m:t>μ</m:t>
            </m:r>
          </m:e>
          <m:sub>
            <m:r>
              <w:rPr>
                <w:rFonts w:ascii="Cambria Math" w:hAnsi="Cambria Math"/>
              </w:rPr>
              <m:t>t</m:t>
            </m:r>
          </m:sub>
        </m:sSub>
      </m:oMath>
      <w:r>
        <w:rPr>
          <w:rFonts w:ascii="Palatino Linotype" w:hAnsi="Palatino Linotype"/>
        </w:rPr>
        <w:t>, que representa el error del modelo estimado, es regresionado con variables propias del conflicto social.</w:t>
      </w:r>
    </w:p>
    <w:p w14:paraId="4E7A23D9" w14:textId="77777777" w:rsidR="00734BFB" w:rsidRDefault="00FA44D6" w:rsidP="00734BFB">
      <w:pPr>
        <w:rPr>
          <w:rFonts w:ascii="Palatino Linotype" w:hAnsi="Palatino Linotype"/>
        </w:rPr>
      </w:pPr>
      <m:oMathPara>
        <m:oMath>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 xml:space="preserve"> =F(</m:t>
          </m:r>
          <m:sSub>
            <m:sSubPr>
              <m:ctrlPr>
                <w:rPr>
                  <w:rFonts w:ascii="Cambria Math" w:hAnsi="Cambria Math"/>
                  <w:i/>
                </w:rPr>
              </m:ctrlPr>
            </m:sSubPr>
            <m:e>
              <m:r>
                <w:rPr>
                  <w:rFonts w:ascii="Cambria Math" w:hAnsi="Cambria Math"/>
                </w:rPr>
                <m:t>Var_conflicto_social</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t</m:t>
              </m:r>
            </m:sub>
          </m:sSub>
        </m:oMath>
      </m:oMathPara>
    </w:p>
    <w:p w14:paraId="3E510D75" w14:textId="5B94AEC6" w:rsidR="001B3866" w:rsidRPr="001B3866" w:rsidRDefault="001B3866" w:rsidP="00734BFB">
      <w:pPr>
        <w:jc w:val="both"/>
        <w:rPr>
          <w:rFonts w:ascii="Palatino Linotype" w:hAnsi="Palatino Linotype"/>
        </w:rPr>
      </w:pPr>
      <w:r>
        <w:rPr>
          <w:rFonts w:ascii="Palatino Linotype" w:hAnsi="Palatino Linotype"/>
        </w:rPr>
        <w:t xml:space="preserve">Con el fin de evaluar la segunda hipótesis, es decir el efecto del capital social sobre el valor de la empresa (tasa de crecimiento del precio de las acciones: rendimiento), se procedió a construir un modelo de regresión lineal en el cual la variable explicada es el componente socio-político del rendimiento capturada por el error del </w:t>
      </w:r>
      <w:r w:rsidRPr="001B3866">
        <w:rPr>
          <w:rFonts w:ascii="Palatino Linotype" w:hAnsi="Palatino Linotype"/>
          <w:b/>
          <w:i/>
        </w:rPr>
        <w:t>modelo 6</w:t>
      </w:r>
      <w:r>
        <w:rPr>
          <w:rFonts w:ascii="Palatino Linotype" w:hAnsi="Palatino Linotype"/>
        </w:rPr>
        <w:t xml:space="preserve"> y las variables explicativas son el capital social y una </w:t>
      </w:r>
      <w:r w:rsidRPr="001B3866">
        <w:rPr>
          <w:rFonts w:ascii="Palatino Linotype" w:hAnsi="Palatino Linotype"/>
          <w:i/>
        </w:rPr>
        <w:t>dummy</w:t>
      </w:r>
      <w:r>
        <w:rPr>
          <w:rFonts w:ascii="Palatino Linotype" w:hAnsi="Palatino Linotype"/>
        </w:rPr>
        <w:t xml:space="preserve"> de asimetría.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734BFB" w14:paraId="5DDB55BF" w14:textId="77777777" w:rsidTr="0040437B">
        <w:trPr>
          <w:jc w:val="center"/>
        </w:trPr>
        <w:tc>
          <w:tcPr>
            <w:tcW w:w="8644" w:type="dxa"/>
          </w:tcPr>
          <w:p w14:paraId="1E15B05D" w14:textId="0CB7FB88" w:rsidR="00734BFB" w:rsidRPr="00746FA8" w:rsidRDefault="00734BFB" w:rsidP="00734BFB">
            <w:pPr>
              <w:jc w:val="center"/>
              <w:rPr>
                <w:rFonts w:ascii="Palatino Linotype" w:hAnsi="Palatino Linotype"/>
                <w:b/>
              </w:rPr>
            </w:pPr>
            <w:r>
              <w:rPr>
                <w:rFonts w:ascii="Palatino Linotype" w:hAnsi="Palatino Linotype"/>
                <w:b/>
              </w:rPr>
              <w:t>Modelo</w:t>
            </w:r>
            <w:r w:rsidR="0040437B">
              <w:rPr>
                <w:rFonts w:ascii="Palatino Linotype" w:hAnsi="Palatino Linotype"/>
                <w:b/>
              </w:rPr>
              <w:t xml:space="preserve"> </w:t>
            </w:r>
            <w:r>
              <w:rPr>
                <w:rFonts w:ascii="Palatino Linotype" w:hAnsi="Palatino Linotype"/>
                <w:b/>
              </w:rPr>
              <w:t>7</w:t>
            </w:r>
          </w:p>
          <w:p w14:paraId="411BAD7C" w14:textId="77777777" w:rsidR="00734BFB" w:rsidRDefault="00734BFB" w:rsidP="00734BFB">
            <w:pPr>
              <w:jc w:val="center"/>
              <w:rPr>
                <w:rFonts w:ascii="Palatino Linotype" w:hAnsi="Palatino Linotype"/>
              </w:rPr>
            </w:pPr>
            <w:r>
              <w:rPr>
                <w:rFonts w:ascii="Palatino Linotype" w:hAnsi="Palatino Linotype"/>
                <w:b/>
                <w:i/>
              </w:rPr>
              <w:t>Componente socio-político del rendimiento</w:t>
            </w:r>
          </w:p>
        </w:tc>
      </w:tr>
      <w:tr w:rsidR="00734BFB" w14:paraId="2D521AE1" w14:textId="77777777" w:rsidTr="0040437B">
        <w:trPr>
          <w:jc w:val="center"/>
        </w:trPr>
        <w:tc>
          <w:tcPr>
            <w:tcW w:w="8644" w:type="dxa"/>
          </w:tcPr>
          <w:p w14:paraId="42756936" w14:textId="77777777" w:rsidR="00734BFB" w:rsidRDefault="00734BFB" w:rsidP="00734BFB">
            <w:pPr>
              <w:jc w:val="center"/>
              <w:rPr>
                <w:rFonts w:ascii="Palatino Linotype" w:hAnsi="Palatino Linotype"/>
              </w:rPr>
            </w:pPr>
            <w:r>
              <w:rPr>
                <w:rFonts w:ascii="Palatino Linotype" w:hAnsi="Palatino Linotype"/>
                <w:noProof/>
                <w:lang w:val="es-PE"/>
              </w:rPr>
              <w:lastRenderedPageBreak/>
              <w:drawing>
                <wp:inline distT="0" distB="0" distL="0" distR="0" wp14:anchorId="1BE80227" wp14:editId="66EC0C7A">
                  <wp:extent cx="3085106" cy="2027582"/>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8685" cy="2029934"/>
                          </a:xfrm>
                          <a:prstGeom prst="rect">
                            <a:avLst/>
                          </a:prstGeom>
                          <a:noFill/>
                          <a:ln>
                            <a:noFill/>
                          </a:ln>
                        </pic:spPr>
                      </pic:pic>
                    </a:graphicData>
                  </a:graphic>
                </wp:inline>
              </w:drawing>
            </w:r>
          </w:p>
        </w:tc>
      </w:tr>
    </w:tbl>
    <w:p w14:paraId="41DDF08C" w14:textId="5B0BCFB7" w:rsidR="00734BFB" w:rsidRDefault="0040437B" w:rsidP="00734BFB">
      <w:pPr>
        <w:jc w:val="both"/>
        <w:rPr>
          <w:rFonts w:ascii="Palatino Linotype" w:hAnsi="Palatino Linotype"/>
        </w:rPr>
      </w:pPr>
      <w:r w:rsidRPr="00A4783A">
        <w:rPr>
          <w:rFonts w:ascii="Palatino Linotype" w:hAnsi="Palatino Linotype"/>
          <w:b/>
          <w:sz w:val="16"/>
          <w:szCs w:val="16"/>
        </w:rPr>
        <w:t xml:space="preserve">Elaboración: </w:t>
      </w:r>
      <w:r w:rsidRPr="00A4783A">
        <w:rPr>
          <w:rFonts w:ascii="Palatino Linotype" w:hAnsi="Palatino Linotype"/>
          <w:sz w:val="16"/>
          <w:szCs w:val="16"/>
        </w:rPr>
        <w:t>propia</w:t>
      </w:r>
    </w:p>
    <w:p w14:paraId="7A61F748" w14:textId="77777777" w:rsidR="00734BFB" w:rsidRDefault="00734BFB" w:rsidP="00734BFB">
      <w:pPr>
        <w:jc w:val="both"/>
        <w:rPr>
          <w:rFonts w:ascii="Palatino Linotype" w:hAnsi="Palatino Linotype"/>
        </w:rPr>
      </w:pPr>
      <w:r w:rsidRPr="00CE1CD9">
        <w:rPr>
          <w:rFonts w:ascii="Palatino Linotype" w:hAnsi="Palatino Linotype"/>
        </w:rPr>
        <w:t>Este modelo sugiere lo siguiente: que mayor capital social entonces inducirá mayor rendimiento de las acciones (coef 2.56) en periodos donde el rendimiento es al alza;</w:t>
      </w:r>
      <w:r>
        <w:rPr>
          <w:rFonts w:ascii="Palatino Linotype" w:hAnsi="Palatino Linotype"/>
        </w:rPr>
        <w:t xml:space="preserve"> no obstante, que en periodos donde el rendimiento es negativo el capital social inducirá un menor efecto (coef 0.16). Esto demuestra que el capital social es asimétrico con respecto al rendimiento. De otro lado, si el conflicto es a nivel nacional el rendimiento será menor (D_Tipo_Act &lt;0).</w:t>
      </w:r>
      <w:r>
        <w:rPr>
          <w:rFonts w:ascii="Palatino Linotype" w:hAnsi="Palatino Linotype"/>
        </w:rPr>
        <w:tab/>
      </w:r>
    </w:p>
    <w:p w14:paraId="2852CDDC" w14:textId="6916A68D" w:rsidR="002E2251" w:rsidRDefault="00734BFB" w:rsidP="00DD3469">
      <w:pPr>
        <w:jc w:val="center"/>
        <w:rPr>
          <w:rFonts w:ascii="Palatino Linotype" w:hAnsi="Palatino Linotype"/>
        </w:rPr>
      </w:pPr>
      <w:r>
        <w:rPr>
          <w:rFonts w:ascii="Palatino Linotype" w:hAnsi="Palatino Linotype"/>
          <w:noProof/>
          <w:lang w:val="es-PE"/>
        </w:rPr>
        <w:drawing>
          <wp:inline distT="0" distB="0" distL="0" distR="0" wp14:anchorId="64890132" wp14:editId="7176DA28">
            <wp:extent cx="3434963" cy="1629898"/>
            <wp:effectExtent l="0" t="0" r="0" b="889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7634" cy="1631165"/>
                    </a:xfrm>
                    <a:prstGeom prst="rect">
                      <a:avLst/>
                    </a:prstGeom>
                    <a:noFill/>
                    <a:ln>
                      <a:noFill/>
                    </a:ln>
                  </pic:spPr>
                </pic:pic>
              </a:graphicData>
            </a:graphic>
          </wp:inline>
        </w:drawing>
      </w:r>
    </w:p>
    <w:p w14:paraId="0DFE84F1" w14:textId="047D2855" w:rsidR="002E2251" w:rsidRDefault="002E2251" w:rsidP="002E2251">
      <w:pPr>
        <w:pStyle w:val="Ttulo1"/>
        <w:tabs>
          <w:tab w:val="left" w:pos="426"/>
        </w:tabs>
      </w:pPr>
      <w:r w:rsidRPr="002E2251">
        <w:t>CONCLUSIONES, IMPLICACIONES, Y LIMITACIONES</w:t>
      </w:r>
    </w:p>
    <w:p w14:paraId="25005F3E" w14:textId="77777777" w:rsidR="00DD3469" w:rsidRDefault="00DD3469" w:rsidP="00DD3469"/>
    <w:p w14:paraId="2BE135BD" w14:textId="22058125" w:rsidR="00F4143D" w:rsidRDefault="001F2FE7" w:rsidP="001F2FE7">
      <w:pPr>
        <w:jc w:val="both"/>
        <w:rPr>
          <w:rFonts w:ascii="Palatino Linotype" w:hAnsi="Palatino Linotype"/>
        </w:rPr>
      </w:pPr>
      <w:r w:rsidRPr="001F2FE7">
        <w:rPr>
          <w:rFonts w:ascii="Palatino Linotype" w:hAnsi="Palatino Linotype"/>
        </w:rPr>
        <w:t xml:space="preserve">Esta investigación busca contribuir con la literatura al </w:t>
      </w:r>
      <w:r w:rsidR="00F4143D">
        <w:rPr>
          <w:rFonts w:ascii="Palatino Linotype" w:hAnsi="Palatino Linotype"/>
        </w:rPr>
        <w:t xml:space="preserve">proponer un modelo que relacione el conflicto social y </w:t>
      </w:r>
      <w:r w:rsidRPr="001F2FE7">
        <w:rPr>
          <w:rFonts w:ascii="Palatino Linotype" w:hAnsi="Palatino Linotype"/>
        </w:rPr>
        <w:t xml:space="preserve">el capital social con el valor de la empresa en el marco de un país en desarrollo (Perú). </w:t>
      </w:r>
      <w:r w:rsidR="00F4143D">
        <w:rPr>
          <w:rFonts w:ascii="Palatino Linotype" w:hAnsi="Palatino Linotype"/>
        </w:rPr>
        <w:t>Con el fin de validar el modelo propuesto se requirió diferenciar dos componentes del rendimiento: componente macroeconómico y componente socio-político. El primero estaría compuesto por variables agregadas de la economía y el segundo por variables relacionadas al conflicto social.</w:t>
      </w:r>
    </w:p>
    <w:p w14:paraId="1A529635" w14:textId="42ECBA08" w:rsidR="00DD3469" w:rsidRDefault="00F4143D" w:rsidP="001F2FE7">
      <w:pPr>
        <w:jc w:val="both"/>
        <w:rPr>
          <w:rFonts w:ascii="Palatino Linotype" w:hAnsi="Palatino Linotype"/>
        </w:rPr>
      </w:pPr>
      <w:r>
        <w:rPr>
          <w:rFonts w:ascii="Palatino Linotype" w:hAnsi="Palatino Linotype"/>
        </w:rPr>
        <w:t xml:space="preserve">La metodología aplicada para la prueba de hipótesis es </w:t>
      </w:r>
      <w:r w:rsidR="005F2F3D">
        <w:rPr>
          <w:rFonts w:ascii="Palatino Linotype" w:hAnsi="Palatino Linotype"/>
        </w:rPr>
        <w:t xml:space="preserve">un modelo de regresión lineal multivariada. De los resultados se obtienen tres principales conclusiones: la primera es que </w:t>
      </w:r>
      <w:r w:rsidR="005F2F3D">
        <w:rPr>
          <w:rFonts w:ascii="Palatino Linotype" w:hAnsi="Palatino Linotype"/>
        </w:rPr>
        <w:lastRenderedPageBreak/>
        <w:t>el número de conflictos si influye negativamente sobre el rendimiento de la acción. Esto sugiere que a medida que el sector empresarial experimente oposición por parte de la comunidad expresa</w:t>
      </w:r>
      <w:r w:rsidR="001C045B">
        <w:rPr>
          <w:rFonts w:ascii="Palatino Linotype" w:hAnsi="Palatino Linotype"/>
        </w:rPr>
        <w:t>da</w:t>
      </w:r>
      <w:r w:rsidR="005F2F3D">
        <w:rPr>
          <w:rFonts w:ascii="Palatino Linotype" w:hAnsi="Palatino Linotype"/>
        </w:rPr>
        <w:t xml:space="preserve"> en conflictos sociales, el rendimiento se verá impactado negativamente.</w:t>
      </w:r>
    </w:p>
    <w:p w14:paraId="4E8B13A2" w14:textId="12934475" w:rsidR="001C045B" w:rsidRDefault="005F2F3D" w:rsidP="001F2FE7">
      <w:pPr>
        <w:jc w:val="both"/>
        <w:rPr>
          <w:rFonts w:ascii="Palatino Linotype" w:hAnsi="Palatino Linotype"/>
        </w:rPr>
      </w:pPr>
      <w:r>
        <w:rPr>
          <w:rFonts w:ascii="Palatino Linotype" w:hAnsi="Palatino Linotype"/>
        </w:rPr>
        <w:t xml:space="preserve">La segunda es que el capital social tiene efectos positivos sobre el rendimiento. Esto indica que </w:t>
      </w:r>
      <w:r w:rsidR="001C045B">
        <w:rPr>
          <w:rFonts w:ascii="Palatino Linotype" w:hAnsi="Palatino Linotype"/>
        </w:rPr>
        <w:t xml:space="preserve">si la empresa construye y mantiene buenas relaciones de cooperación con la comunidad, este fortalecimiento de relaciones incentivará un mayor rendimiento de las acciones. Finalmente, el capital social tiene un efecto asimétrico; es decir, influye fuertemente sobre el rendimiento cuando este se encuentra en periodos de bonanza (rendimiento positivo), pero su efecto positivo es menor cuando el rendimiento se encuentra en periodos de recesión (rendimiento negativo). </w:t>
      </w:r>
    </w:p>
    <w:p w14:paraId="3DB4E2F5" w14:textId="18C6C4EC" w:rsidR="001C045B" w:rsidRDefault="001C045B" w:rsidP="001F2FE7">
      <w:pPr>
        <w:jc w:val="both"/>
        <w:rPr>
          <w:rFonts w:ascii="Palatino Linotype" w:hAnsi="Palatino Linotype"/>
        </w:rPr>
      </w:pPr>
      <w:r>
        <w:rPr>
          <w:rFonts w:ascii="Palatino Linotype" w:hAnsi="Palatino Linotype"/>
        </w:rPr>
        <w:t>Además, el modelo propuesto en esta investigación y los resultados obtenidos podrían extrapolarse o generalizarse a otros sectores productivos/extractivos como la pesca, petróleo</w:t>
      </w:r>
      <w:r w:rsidR="00ED1E0D">
        <w:rPr>
          <w:rFonts w:ascii="Palatino Linotype" w:hAnsi="Palatino Linotype"/>
        </w:rPr>
        <w:t xml:space="preserve"> y gas, siendo esta la principal implicación de esta investigación. De otro lado, esta investigación sugiere una línea de investigación futura en tres aspectos: el primero entender en mayor amplitud los factores detrás del capital social, ya que su </w:t>
      </w:r>
      <w:r w:rsidR="003554C1">
        <w:rPr>
          <w:rFonts w:ascii="Palatino Linotype" w:hAnsi="Palatino Linotype"/>
        </w:rPr>
        <w:t xml:space="preserve">comprensión </w:t>
      </w:r>
      <w:r w:rsidR="00ED1E0D">
        <w:rPr>
          <w:rFonts w:ascii="Palatino Linotype" w:hAnsi="Palatino Linotype"/>
        </w:rPr>
        <w:t xml:space="preserve"> brindaría a los directivos empresariales información para fortalecerla e incrementarla en el tiempo. El segundo es </w:t>
      </w:r>
      <w:r w:rsidR="003554C1">
        <w:rPr>
          <w:rFonts w:ascii="Palatino Linotype" w:hAnsi="Palatino Linotype"/>
        </w:rPr>
        <w:t xml:space="preserve">conocer cuáles son los </w:t>
      </w:r>
      <w:r w:rsidR="00ED1E0D">
        <w:rPr>
          <w:rFonts w:ascii="Palatino Linotype" w:hAnsi="Palatino Linotype"/>
        </w:rPr>
        <w:t xml:space="preserve">factores llevan a una comunidad a oponerse a los proyectos de una empresa; es decir, entender los factores detrás del conflicto social. Esto no solo brindaría información a las empresas sino también a las autoridades del sector público para contribuir a la reducción de dichos conflictos. Finalmente, </w:t>
      </w:r>
      <w:r w:rsidR="00450B06">
        <w:rPr>
          <w:rFonts w:ascii="Palatino Linotype" w:hAnsi="Palatino Linotype"/>
        </w:rPr>
        <w:t xml:space="preserve">permitiría </w:t>
      </w:r>
      <w:r w:rsidR="00ED1E0D">
        <w:rPr>
          <w:rFonts w:ascii="Palatino Linotype" w:hAnsi="Palatino Linotype"/>
        </w:rPr>
        <w:t>evaluar si solo el rendimiento de la acción es afectada por los conflictos sociales. Esto es importante debido a que probablemente no solo el rendimiento se vea afectado, sino también por ejemplo la reputación de la empresa. Siendo lo anterior un efecto adicional de los conflictos sociales.</w:t>
      </w:r>
    </w:p>
    <w:p w14:paraId="1B626344" w14:textId="518983B4" w:rsidR="00ED1E0D" w:rsidRPr="001F2FE7" w:rsidRDefault="00ED1E0D" w:rsidP="001F2FE7">
      <w:pPr>
        <w:jc w:val="both"/>
        <w:rPr>
          <w:rFonts w:ascii="Palatino Linotype" w:hAnsi="Palatino Linotype"/>
        </w:rPr>
      </w:pPr>
      <w:r>
        <w:rPr>
          <w:rFonts w:ascii="Palatino Linotype" w:hAnsi="Palatino Linotype"/>
        </w:rPr>
        <w:t>Cabe men</w:t>
      </w:r>
      <w:r w:rsidR="00353182">
        <w:rPr>
          <w:rFonts w:ascii="Palatino Linotype" w:hAnsi="Palatino Linotype"/>
        </w:rPr>
        <w:t xml:space="preserve">cionar que la principal limitación de este estudio es </w:t>
      </w:r>
      <w:r w:rsidR="0025094A">
        <w:rPr>
          <w:rFonts w:ascii="Palatino Linotype" w:hAnsi="Palatino Linotype"/>
        </w:rPr>
        <w:t>que no se ha analizado otras variables que podrían estar afectadas por el conflicto social como, por ejemplo,  la reputación de la empresa o el desaliento de las inversiones en dicho sector extractivo. No obstante, dicho análisis se deja para futuras investigaciones.</w:t>
      </w:r>
    </w:p>
    <w:p w14:paraId="6D592A12" w14:textId="77777777" w:rsidR="00DD3469" w:rsidRDefault="00DD3469" w:rsidP="00DD3469"/>
    <w:p w14:paraId="10AFE4EF" w14:textId="2FEC47DC" w:rsidR="00DD3469" w:rsidRPr="00353182" w:rsidRDefault="00353182" w:rsidP="00DD3469">
      <w:pPr>
        <w:rPr>
          <w:rFonts w:ascii="Palatino Linotype" w:hAnsi="Palatino Linotype"/>
          <w:b/>
        </w:rPr>
      </w:pPr>
      <w:r w:rsidRPr="00353182">
        <w:rPr>
          <w:rFonts w:ascii="Palatino Linotype" w:hAnsi="Palatino Linotype"/>
          <w:b/>
        </w:rPr>
        <w:t>Referencias</w:t>
      </w:r>
    </w:p>
    <w:p w14:paraId="57F13905" w14:textId="77777777" w:rsidR="00BD7961" w:rsidRPr="00335CB6" w:rsidRDefault="00BD7961" w:rsidP="00BD7961">
      <w:pPr>
        <w:spacing w:line="240" w:lineRule="auto"/>
        <w:ind w:left="709" w:hanging="709"/>
        <w:jc w:val="both"/>
        <w:rPr>
          <w:rFonts w:ascii="Palatino Linotype" w:hAnsi="Palatino Linotype"/>
          <w:lang w:val="en-US"/>
        </w:rPr>
      </w:pPr>
      <w:r w:rsidRPr="00BE7078">
        <w:rPr>
          <w:rFonts w:ascii="Palatino Linotype" w:hAnsi="Palatino Linotype"/>
        </w:rPr>
        <w:t xml:space="preserve">Abdullah, D. A. and S. C. Hayworth. </w:t>
      </w:r>
      <w:r w:rsidRPr="00335CB6">
        <w:rPr>
          <w:rFonts w:ascii="Palatino Linotype" w:hAnsi="Palatino Linotype"/>
          <w:lang w:val="en-US"/>
        </w:rPr>
        <w:t xml:space="preserve">(1993). “Macroeconometrics of Stock Price Fluctuations” Quarterly Journal of Business and Economics 32, 50–67. </w:t>
      </w:r>
    </w:p>
    <w:p w14:paraId="5C256B47" w14:textId="77777777" w:rsidR="00BD7961" w:rsidRPr="00BE7078" w:rsidRDefault="00BD7961" w:rsidP="00BD7961">
      <w:pPr>
        <w:spacing w:line="240" w:lineRule="auto"/>
        <w:jc w:val="both"/>
        <w:rPr>
          <w:rFonts w:ascii="Palatino Linotype" w:hAnsi="Palatino Linotype"/>
        </w:rPr>
      </w:pPr>
      <w:r w:rsidRPr="00BE7078">
        <w:rPr>
          <w:rFonts w:ascii="Palatino Linotype" w:hAnsi="Palatino Linotype"/>
        </w:rPr>
        <w:lastRenderedPageBreak/>
        <w:t>ACOPIME (2014). Importancia de la minería para el Peru. Disponible en: http://www.acomiperu.com/index.php?option=com_content&amp;task=view&amp;id=61&amp;Itemid=1</w:t>
      </w:r>
    </w:p>
    <w:p w14:paraId="2291634D" w14:textId="77777777" w:rsidR="00BD7961" w:rsidRPr="00335CB6" w:rsidRDefault="00BD7961" w:rsidP="00BD7961">
      <w:pPr>
        <w:spacing w:after="0" w:line="240" w:lineRule="auto"/>
        <w:ind w:left="709" w:hanging="709"/>
        <w:jc w:val="both"/>
        <w:rPr>
          <w:rFonts w:ascii="Palatino Linotype" w:hAnsi="Palatino Linotype"/>
          <w:lang w:val="en-US"/>
        </w:rPr>
      </w:pPr>
      <w:r w:rsidRPr="00335CB6">
        <w:rPr>
          <w:rFonts w:ascii="Palatino Linotype" w:hAnsi="Palatino Linotype"/>
          <w:lang w:val="en-US"/>
        </w:rPr>
        <w:t>Alesina, Alberto &amp; Perotti, Roberto, 1996. "Income distribution, Political Instability, and</w:t>
      </w:r>
    </w:p>
    <w:p w14:paraId="3E9B5904" w14:textId="77777777" w:rsidR="00BD7961" w:rsidRPr="00335CB6" w:rsidRDefault="00BD7961" w:rsidP="00BD7961">
      <w:pPr>
        <w:spacing w:line="240" w:lineRule="auto"/>
        <w:ind w:left="709"/>
        <w:jc w:val="both"/>
        <w:rPr>
          <w:rFonts w:ascii="Palatino Linotype" w:hAnsi="Palatino Linotype"/>
          <w:lang w:val="en-US"/>
        </w:rPr>
      </w:pPr>
      <w:r w:rsidRPr="00335CB6">
        <w:rPr>
          <w:rFonts w:ascii="Palatino Linotype" w:hAnsi="Palatino Linotype"/>
          <w:lang w:val="en-US"/>
        </w:rPr>
        <w:t xml:space="preserve">Investment," European Economic Review, 40(6), 1203-1228. </w:t>
      </w:r>
    </w:p>
    <w:p w14:paraId="68B2B256" w14:textId="77777777" w:rsidR="00BD7961" w:rsidRPr="00BE7078"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 xml:space="preserve">Alston, L.J., Libecap, G.D., &amp; Mueller. B. (1999). A model of rural conflict: Violence </w:t>
      </w:r>
      <w:r w:rsidRPr="00BE7078">
        <w:rPr>
          <w:rFonts w:ascii="Palatino Linotype" w:hAnsi="Palatino Linotype"/>
          <w:lang w:val="en-GB"/>
        </w:rPr>
        <w:t xml:space="preserve">and land reform policy in Brazil. </w:t>
      </w:r>
      <w:r w:rsidRPr="00BE7078">
        <w:rPr>
          <w:rFonts w:ascii="Palatino Linotype" w:hAnsi="Palatino Linotype"/>
          <w:i/>
          <w:lang w:val="en-GB"/>
        </w:rPr>
        <w:t>Environment and Development Economics, 4</w:t>
      </w:r>
      <w:r w:rsidRPr="00BE7078">
        <w:rPr>
          <w:rFonts w:ascii="Palatino Linotype" w:hAnsi="Palatino Linotype"/>
          <w:lang w:val="en-GB"/>
        </w:rPr>
        <w:t>(2): 135-160.</w:t>
      </w:r>
    </w:p>
    <w:p w14:paraId="2A707CD0" w14:textId="77777777" w:rsidR="00BD7961" w:rsidRPr="00335CB6" w:rsidRDefault="00BD7961" w:rsidP="00BD7961">
      <w:pPr>
        <w:spacing w:line="240" w:lineRule="auto"/>
        <w:ind w:left="709" w:hanging="709"/>
        <w:jc w:val="both"/>
        <w:rPr>
          <w:rFonts w:ascii="Palatino Linotype" w:hAnsi="Palatino Linotype"/>
          <w:lang w:val="en-US"/>
        </w:rPr>
      </w:pPr>
      <w:r w:rsidRPr="00335CB6">
        <w:rPr>
          <w:rFonts w:ascii="Palatino Linotype" w:hAnsi="Palatino Linotype"/>
          <w:lang w:val="en-US"/>
        </w:rPr>
        <w:t>Baum, A., and G.B. Koester, 2011, “The Impact of Fiscal Policy on Economic Activity over the Business Cycle –Evidence from a Threshold VAR Analysis,” Bundesbank Discussion Paper, 03/2011 (Frankfurt: Deutsche Bundesbank).</w:t>
      </w:r>
    </w:p>
    <w:p w14:paraId="3870FCCC"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Bebbington, A., Hinojosa, L., Humphreys Bebbington, D., Burneo, M.L., &amp; Warnaars, X.(2008). Contention and ambiguity: mining and the possibilities of development. </w:t>
      </w:r>
      <w:r w:rsidRPr="00BE7078">
        <w:rPr>
          <w:rFonts w:ascii="Palatino Linotype" w:hAnsi="Palatino Linotype"/>
          <w:i/>
          <w:lang w:val="en-GB"/>
        </w:rPr>
        <w:t>Development and Change, 39</w:t>
      </w:r>
      <w:r w:rsidRPr="00BE7078">
        <w:rPr>
          <w:rFonts w:ascii="Palatino Linotype" w:hAnsi="Palatino Linotype"/>
          <w:lang w:val="en-GB"/>
        </w:rPr>
        <w:t xml:space="preserve"> (6), 887-914.</w:t>
      </w:r>
    </w:p>
    <w:p w14:paraId="619EF1A7"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Berdal, M. (2003). How “new” are “New Wars”? Global economic change and the study of civil war. </w:t>
      </w:r>
      <w:r w:rsidRPr="00BE7078">
        <w:rPr>
          <w:rFonts w:ascii="Palatino Linotype" w:hAnsi="Palatino Linotype"/>
          <w:i/>
          <w:lang w:val="en-GB"/>
        </w:rPr>
        <w:t xml:space="preserve">Global Governance, 9 </w:t>
      </w:r>
      <w:r w:rsidRPr="00BE7078">
        <w:rPr>
          <w:rFonts w:ascii="Palatino Linotype" w:hAnsi="Palatino Linotype"/>
          <w:lang w:val="en-GB"/>
        </w:rPr>
        <w:t>(4), 477-502.</w:t>
      </w:r>
    </w:p>
    <w:p w14:paraId="29A981D0" w14:textId="77777777" w:rsidR="00BD7961" w:rsidRPr="00BE7078" w:rsidRDefault="00BD7961" w:rsidP="00BD7961">
      <w:pPr>
        <w:tabs>
          <w:tab w:val="left" w:pos="2968"/>
        </w:tabs>
        <w:autoSpaceDE w:val="0"/>
        <w:autoSpaceDN w:val="0"/>
        <w:adjustRightInd w:val="0"/>
        <w:spacing w:line="240" w:lineRule="auto"/>
        <w:ind w:left="709" w:hanging="709"/>
        <w:jc w:val="both"/>
        <w:rPr>
          <w:rFonts w:ascii="Palatino Linotype" w:hAnsi="Palatino Linotype" w:cs="Times New Roman"/>
          <w:b/>
          <w:color w:val="FF0000"/>
          <w:lang w:val="en-GB"/>
        </w:rPr>
      </w:pPr>
      <w:r w:rsidRPr="00335CB6">
        <w:rPr>
          <w:rFonts w:ascii="Palatino Linotype" w:hAnsi="Palatino Linotype"/>
          <w:lang w:val="en-US"/>
        </w:rPr>
        <w:t>Berkes, F.&amp; George, P.&amp; Preston, R.J., "Co-management: the evolution in theory and practice of the joint administration of living resources", Alternatives, vol. 18, 1991, p.12-18</w:t>
      </w:r>
      <w:r w:rsidRPr="00BE7078">
        <w:rPr>
          <w:rFonts w:ascii="Palatino Linotype" w:hAnsi="Palatino Linotype" w:cs="Times New Roman"/>
          <w:b/>
          <w:color w:val="FF0000"/>
          <w:lang w:val="en-GB"/>
        </w:rPr>
        <w:tab/>
      </w:r>
    </w:p>
    <w:p w14:paraId="66E5E2D9"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Bernauer, T., Bohmelt, T., and Koubi, V. (2012). Environmental Changes and Violent Conflict. </w:t>
      </w:r>
      <w:r w:rsidRPr="00BE7078">
        <w:rPr>
          <w:rFonts w:ascii="Palatino Linotype" w:hAnsi="Palatino Linotype"/>
          <w:i/>
          <w:lang w:val="en-GB"/>
        </w:rPr>
        <w:t>Environmental Research Letter</w:t>
      </w:r>
      <w:r w:rsidRPr="00BE7078">
        <w:rPr>
          <w:rFonts w:ascii="Palatino Linotype" w:hAnsi="Palatino Linotype"/>
          <w:lang w:val="en-GB"/>
        </w:rPr>
        <w:t>,  7 015601 (8pp).</w:t>
      </w:r>
      <w:r w:rsidRPr="00BE7078">
        <w:rPr>
          <w:rFonts w:ascii="Palatino Linotype" w:hAnsi="Palatino Linotype"/>
          <w:shd w:val="clear" w:color="auto" w:fill="FFFFFF"/>
          <w:lang w:val="en-GB"/>
        </w:rPr>
        <w:t xml:space="preserve"> DOI:10.1088/1748-9326/7/1/015601</w:t>
      </w:r>
    </w:p>
    <w:p w14:paraId="1C3C9A51"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Bourdieu, P. (1985). </w:t>
      </w:r>
      <w:r w:rsidRPr="00BE7078">
        <w:rPr>
          <w:rFonts w:ascii="Palatino Linotype" w:hAnsi="Palatino Linotype"/>
          <w:i/>
          <w:lang w:val="en-GB"/>
        </w:rPr>
        <w:t>The forms of capital</w:t>
      </w:r>
      <w:r w:rsidRPr="00BE7078">
        <w:rPr>
          <w:rFonts w:ascii="Palatino Linotype" w:hAnsi="Palatino Linotype"/>
          <w:lang w:val="en-GB"/>
        </w:rPr>
        <w:t xml:space="preserve">. In J.G. Richard (Ed.) .Handbook of Theory and Research for the Sociology of Education, pp. 241-258. New York: Greenwood. </w:t>
      </w:r>
    </w:p>
    <w:p w14:paraId="5BF8D616"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Bowles, S. &amp; Gintis H. (1988). Contested Exchange: Political Economy and Modern Economic Theory.  </w:t>
      </w:r>
      <w:r w:rsidRPr="00BE7078">
        <w:rPr>
          <w:rFonts w:ascii="Palatino Linotype" w:hAnsi="Palatino Linotype"/>
          <w:i/>
          <w:lang w:val="en-GB"/>
        </w:rPr>
        <w:t>American Economic Review, 78</w:t>
      </w:r>
      <w:r w:rsidRPr="00BE7078">
        <w:rPr>
          <w:rFonts w:ascii="Palatino Linotype" w:hAnsi="Palatino Linotype"/>
          <w:lang w:val="en-GB"/>
        </w:rPr>
        <w:t>( 2), 145-150.</w:t>
      </w:r>
    </w:p>
    <w:p w14:paraId="743A00D3"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Bowles, S. &amp; Gintis H. (1990). Contested Exchange: New Microfoundations for the Political Economy of Capitalism.  </w:t>
      </w:r>
      <w:r w:rsidRPr="00BE7078">
        <w:rPr>
          <w:rFonts w:ascii="Palatino Linotype" w:hAnsi="Palatino Linotype"/>
          <w:i/>
          <w:lang w:val="en-GB"/>
        </w:rPr>
        <w:t xml:space="preserve">Politics and Society, 18 </w:t>
      </w:r>
      <w:r w:rsidRPr="00BE7078">
        <w:rPr>
          <w:rFonts w:ascii="Palatino Linotype" w:hAnsi="Palatino Linotype"/>
          <w:lang w:val="en-GB"/>
        </w:rPr>
        <w:t>(2), 165-222.</w:t>
      </w:r>
    </w:p>
    <w:p w14:paraId="703EA200"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Bridge, G. (2004). Contested terrain: Mining and the environment. </w:t>
      </w:r>
      <w:r w:rsidRPr="00BE7078">
        <w:rPr>
          <w:rFonts w:ascii="Palatino Linotype" w:hAnsi="Palatino Linotype"/>
          <w:i/>
          <w:lang w:val="en-GB"/>
        </w:rPr>
        <w:t>Annual Review of Environment and Resources 29</w:t>
      </w:r>
      <w:r w:rsidRPr="00BE7078">
        <w:rPr>
          <w:rFonts w:ascii="Palatino Linotype" w:hAnsi="Palatino Linotype"/>
          <w:lang w:val="en-GB"/>
        </w:rPr>
        <w:t>, 205–259.</w:t>
      </w:r>
    </w:p>
    <w:p w14:paraId="2DD9C3E0" w14:textId="77777777" w:rsidR="00BD7961" w:rsidRPr="00335CB6" w:rsidRDefault="00BD7961" w:rsidP="00BD7961">
      <w:pPr>
        <w:autoSpaceDE w:val="0"/>
        <w:autoSpaceDN w:val="0"/>
        <w:adjustRightInd w:val="0"/>
        <w:spacing w:line="240" w:lineRule="auto"/>
        <w:ind w:left="709" w:hanging="709"/>
        <w:jc w:val="both"/>
        <w:rPr>
          <w:rFonts w:ascii="Palatino Linotype" w:hAnsi="Palatino Linotype"/>
          <w:lang w:val="en-US"/>
        </w:rPr>
      </w:pPr>
      <w:r w:rsidRPr="00335CB6">
        <w:rPr>
          <w:rFonts w:ascii="Palatino Linotype" w:hAnsi="Palatino Linotype"/>
          <w:lang w:val="en-US"/>
        </w:rPr>
        <w:t xml:space="preserve">Bulmash, S.B., Trivoli, G.W. (1991). Time-lagged interactions between stock prices and selected economic variables, Journal of Portfolio Management 17 (4), 61-67. </w:t>
      </w:r>
    </w:p>
    <w:p w14:paraId="163C352E"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cs="Arial"/>
          <w:color w:val="000000"/>
          <w:lang w:val="en-US"/>
        </w:rPr>
        <w:t>Ronald S. Burt</w:t>
      </w:r>
      <w:r w:rsidRPr="00BE7078">
        <w:rPr>
          <w:rFonts w:ascii="Palatino Linotype" w:hAnsi="Palatino Linotype"/>
          <w:lang w:val="en-GB"/>
        </w:rPr>
        <w:t xml:space="preserve"> (1997). </w:t>
      </w:r>
      <w:r w:rsidRPr="00335CB6">
        <w:rPr>
          <w:rFonts w:ascii="Palatino Linotype" w:hAnsi="Palatino Linotype" w:cs="Arial"/>
          <w:color w:val="000000"/>
          <w:lang w:val="en-US"/>
        </w:rPr>
        <w:t>The Contingent Value of Social Capital. Administrative Science Quarterly, Vol. 42, No. 2, pp. 339-365</w:t>
      </w:r>
    </w:p>
    <w:p w14:paraId="1ED0E028"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Burton, P.S. (2004). Hugging Trees: Claiming de facto Property Rights by Blockading Resource Use. </w:t>
      </w:r>
      <w:r w:rsidRPr="00BE7078">
        <w:rPr>
          <w:rFonts w:ascii="Palatino Linotype" w:hAnsi="Palatino Linotype"/>
          <w:i/>
          <w:lang w:val="en-GB"/>
        </w:rPr>
        <w:t>Environmental and Resource Economics, 27</w:t>
      </w:r>
      <w:r w:rsidRPr="00BE7078">
        <w:rPr>
          <w:rFonts w:ascii="Palatino Linotype" w:hAnsi="Palatino Linotype"/>
          <w:lang w:val="en-GB"/>
        </w:rPr>
        <w:t>, 135–163.</w:t>
      </w:r>
    </w:p>
    <w:p w14:paraId="4E342C15" w14:textId="77777777" w:rsidR="00BD7961" w:rsidRPr="00335CB6" w:rsidRDefault="00BD7961" w:rsidP="00BD7961">
      <w:pPr>
        <w:spacing w:line="240" w:lineRule="auto"/>
        <w:jc w:val="both"/>
        <w:rPr>
          <w:rFonts w:ascii="Palatino Linotype" w:hAnsi="Palatino Linotype" w:cs="Arial"/>
          <w:color w:val="222222"/>
          <w:shd w:val="clear" w:color="auto" w:fill="FFFFFF"/>
          <w:lang w:val="en-US"/>
        </w:rPr>
      </w:pPr>
      <w:r w:rsidRPr="00335CB6">
        <w:rPr>
          <w:rFonts w:ascii="Palatino Linotype" w:hAnsi="Palatino Linotype" w:cs="Arial"/>
          <w:color w:val="222222"/>
          <w:shd w:val="clear" w:color="auto" w:fill="FFFFFF"/>
          <w:lang w:val="en-US"/>
        </w:rPr>
        <w:lastRenderedPageBreak/>
        <w:t>Business for Social Responsbility, "The Social Licence to Operate", 2003</w:t>
      </w:r>
    </w:p>
    <w:p w14:paraId="428BFB65" w14:textId="77777777" w:rsidR="00BD7961" w:rsidRPr="004829E7" w:rsidRDefault="00BD7961" w:rsidP="00BD7961">
      <w:pPr>
        <w:spacing w:line="240" w:lineRule="auto"/>
        <w:ind w:left="709" w:hanging="709"/>
        <w:jc w:val="both"/>
        <w:rPr>
          <w:rFonts w:ascii="Palatino Linotype" w:hAnsi="Palatino Linotype"/>
          <w:lang w:val="es-PE"/>
        </w:rPr>
      </w:pPr>
      <w:r w:rsidRPr="004829E7">
        <w:rPr>
          <w:rFonts w:ascii="Palatino Linotype" w:hAnsi="Palatino Linotype"/>
          <w:lang w:val="es-PE"/>
        </w:rPr>
        <w:t>Castillo y Salas (2012). Los términos de intercambio como impulsores de fluctuaciones económicas en economías en desarrollo: studio empírico, Centro de Estudio Monetarios Latinoamericanos.</w:t>
      </w:r>
    </w:p>
    <w:p w14:paraId="0F381C66"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Clarkson, M.B.E., 'A stakeholder framework for analysing and evaluating corporate social performance'. In: Academy of Management Review 20 (1995) 1, pp. 92-117. </w:t>
      </w:r>
    </w:p>
    <w:p w14:paraId="76A62C33"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cs="Arial"/>
          <w:color w:val="222222"/>
          <w:shd w:val="clear" w:color="auto" w:fill="FFFFFF"/>
          <w:lang w:val="en-US"/>
        </w:rPr>
        <w:t>Cleaver, F., "Paradoxes of participation: questioning participatory approaches to development", Journal of International Development, vol. 11, 1999, p.597-612</w:t>
      </w:r>
      <w:r w:rsidRPr="00BE7078">
        <w:rPr>
          <w:rFonts w:ascii="Palatino Linotype" w:hAnsi="Palatino Linotype"/>
          <w:b/>
          <w:color w:val="FF0000"/>
          <w:lang w:val="en-GB"/>
        </w:rPr>
        <w:t xml:space="preserve"> </w:t>
      </w:r>
    </w:p>
    <w:p w14:paraId="5FFA94BD" w14:textId="77777777" w:rsidR="00BD7961" w:rsidRPr="0029076C"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Coleman, James Samuel. 1990. Foundations of Social Theory. Cambridge, MA: Harvard University Press.</w:t>
      </w:r>
      <w:r w:rsidRPr="00335CB6">
        <w:rPr>
          <w:rFonts w:ascii="Palatino Linotype" w:hAnsi="Palatino Linotype"/>
          <w:lang w:val="en-US"/>
        </w:rPr>
        <w:tab/>
      </w:r>
    </w:p>
    <w:p w14:paraId="2B290C60"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Coser, L. (1967). </w:t>
      </w:r>
      <w:r w:rsidRPr="00BE7078">
        <w:rPr>
          <w:rFonts w:ascii="Palatino Linotype" w:hAnsi="Palatino Linotype"/>
          <w:i/>
          <w:lang w:val="en-GB"/>
        </w:rPr>
        <w:t>Continuities in the Study of Social Conflict</w:t>
      </w:r>
      <w:r w:rsidRPr="00BE7078">
        <w:rPr>
          <w:rFonts w:ascii="Palatino Linotype" w:hAnsi="Palatino Linotype"/>
          <w:lang w:val="en-GB"/>
        </w:rPr>
        <w:t>. New York: Free Press.</w:t>
      </w:r>
    </w:p>
    <w:p w14:paraId="60CC8010" w14:textId="77777777" w:rsidR="00BD7961" w:rsidRPr="0029076C"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 xml:space="preserve">Chen, Nai-Fu, Richard Roll and Stephen A. Ross. (1986). Economic Forces and the Stock Market. Journal of Business, 59, pp. 383-403. </w:t>
      </w:r>
    </w:p>
    <w:p w14:paraId="2059C0B4"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Cheung, Y. L., Tan, W. Q., Ahn, H. J., &amp; Zhang, Z. (2009). Does Corporate Social Responsibility Matter in Asian Emerging Markets? </w:t>
      </w:r>
      <w:r w:rsidRPr="00BE7078">
        <w:rPr>
          <w:rFonts w:ascii="Palatino Linotype" w:hAnsi="Palatino Linotype"/>
          <w:i/>
          <w:lang w:val="en-GB"/>
        </w:rPr>
        <w:t>Journal of Business Ethics, 92</w:t>
      </w:r>
      <w:r w:rsidRPr="00BE7078">
        <w:rPr>
          <w:rFonts w:ascii="Palatino Linotype" w:hAnsi="Palatino Linotype"/>
          <w:lang w:val="en-GB"/>
        </w:rPr>
        <w:t>, 401-413.</w:t>
      </w:r>
    </w:p>
    <w:p w14:paraId="2E427988"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Davis, R.  &amp;  Franks, D. ( 2014). </w:t>
      </w:r>
      <w:r w:rsidRPr="00BE7078">
        <w:rPr>
          <w:rFonts w:ascii="Palatino Linotype" w:hAnsi="Palatino Linotype"/>
          <w:i/>
          <w:lang w:val="en-GB"/>
        </w:rPr>
        <w:t>Costs of Company-Community Conflict in the Extractive Sector</w:t>
      </w:r>
      <w:r w:rsidRPr="00BE7078">
        <w:rPr>
          <w:rFonts w:ascii="Palatino Linotype" w:hAnsi="Palatino Linotype"/>
          <w:lang w:val="en-GB"/>
        </w:rPr>
        <w:t xml:space="preserve">. Corporate Social Responsibility Initiative Report No. 66. Costs of company-community conflict in the extractive sector,   pp. 7-8, Cambridge, MA: Harvard Kennedy School. </w:t>
      </w:r>
    </w:p>
    <w:p w14:paraId="473D1C77"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Dearmon, J. &amp; Grier, K. (2009). Trust and Development. </w:t>
      </w:r>
      <w:r w:rsidRPr="00BE7078">
        <w:rPr>
          <w:rFonts w:ascii="Palatino Linotype" w:hAnsi="Palatino Linotype"/>
          <w:i/>
          <w:lang w:val="en-GB"/>
        </w:rPr>
        <w:t>Journal of Economic Behavior &amp; Organizations, 71</w:t>
      </w:r>
      <w:r w:rsidRPr="00BE7078">
        <w:rPr>
          <w:rFonts w:ascii="Palatino Linotype" w:hAnsi="Palatino Linotype"/>
          <w:lang w:val="en-GB"/>
        </w:rPr>
        <w:t>(2), 210-220.</w:t>
      </w:r>
    </w:p>
    <w:p w14:paraId="0E79D4B4" w14:textId="77777777" w:rsidR="00BD7961" w:rsidRPr="0029076C"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Dhakal, D., M. Kandil, and S. C. Sharma. (1993). “Causality between the Money Supply and Share Prices: A VAR Investigation” Quarterly Journal of Business and Economics 32, 52–74. Thomas Donaldson and Lee E. Preston (1995). The Academy of Management Review, Vol. 20, No. 1, pp. 65-91</w:t>
      </w:r>
    </w:p>
    <w:p w14:paraId="72E1BE33"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 xml:space="preserve">Engel, S., &amp; López,  R. (2008). </w:t>
      </w:r>
      <w:r w:rsidRPr="00BE7078">
        <w:rPr>
          <w:rFonts w:ascii="Palatino Linotype" w:hAnsi="Palatino Linotype"/>
          <w:lang w:val="en-GB"/>
        </w:rPr>
        <w:t>Exploiting Common Resources with Capital-Intensive Technologies: The Role of External Forces.</w:t>
      </w:r>
      <w:r w:rsidRPr="00BE7078">
        <w:rPr>
          <w:rFonts w:ascii="Palatino Linotype" w:hAnsi="Palatino Linotype"/>
          <w:i/>
          <w:lang w:val="en-GB"/>
        </w:rPr>
        <w:t xml:space="preserve"> Environment and Development Economics, 13</w:t>
      </w:r>
      <w:r w:rsidRPr="00BE7078">
        <w:rPr>
          <w:rFonts w:ascii="Palatino Linotype" w:hAnsi="Palatino Linotype"/>
          <w:lang w:val="en-GB"/>
        </w:rPr>
        <w:t xml:space="preserve"> (5), 565–589.</w:t>
      </w:r>
    </w:p>
    <w:p w14:paraId="594AAF4D"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 xml:space="preserve">Fombrun , C . J .( 2001 ) ‘ Corporate reputations as economic assets ’ , in M. A. Hitt, R. E. Freeman and J.S. Harrison (eds.) The Blackwell Handbook of Strategic Management, Blackwell Publishers, Oxford, UK . </w:t>
      </w:r>
    </w:p>
    <w:p w14:paraId="2133F1B8"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Franks, D.M., McNab, K., Brereton, D., Cohen, T.,Weldegiorgis, F., Horberry, T., Lynas, D., Garcia-Vasquez, M., Santibáñez, B.O., Barnes, R., McLellan, B., 2013. Design- ing </w:t>
      </w:r>
      <w:r w:rsidRPr="00BE7078">
        <w:rPr>
          <w:rFonts w:ascii="Palatino Linotype" w:hAnsi="Palatino Linotype"/>
          <w:lang w:val="en-GB"/>
        </w:rPr>
        <w:lastRenderedPageBreak/>
        <w:t xml:space="preserve">mining technology for social outcomes: Final Report of the Technology Futures Project. </w:t>
      </w:r>
    </w:p>
    <w:p w14:paraId="60CCE407"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Gan, Christopher, David Cohen, Mike Clemes, Esther Chong (2006). “A survey of customer retention in the New Zealand banking industry”, Banks and Bank Systems, Volume 1, Issue 4.</w:t>
      </w:r>
    </w:p>
    <w:p w14:paraId="2F54C59F"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Goldman Sachs (2008). 190 projects to change the world, </w:t>
      </w:r>
      <w:r w:rsidRPr="00BE7078">
        <w:rPr>
          <w:rFonts w:ascii="Palatino Linotype" w:hAnsi="Palatino Linotype"/>
          <w:i/>
          <w:lang w:val="en-GB"/>
        </w:rPr>
        <w:t>Global Investment Research</w:t>
      </w:r>
      <w:r w:rsidRPr="00BE7078">
        <w:rPr>
          <w:rFonts w:ascii="Palatino Linotype" w:hAnsi="Palatino Linotype"/>
          <w:lang w:val="en-GB"/>
        </w:rPr>
        <w:t xml:space="preserve">, April 25. </w:t>
      </w:r>
    </w:p>
    <w:p w14:paraId="622E3FDF" w14:textId="77777777" w:rsidR="00BD7961" w:rsidRPr="00BE7078"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cs="Arial"/>
          <w:color w:val="222222"/>
          <w:shd w:val="clear" w:color="auto" w:fill="FFFFFF"/>
          <w:lang w:val="en-US"/>
        </w:rPr>
        <w:t>Goldstuck, A.&amp; Hughes, T., "Securing a Social Licence to Operate? From Stone Age to New Age Mining in Tanzania. Research Report 7: Governance of Africa's Resources Programme", 2010</w:t>
      </w:r>
      <w:r w:rsidRPr="00BE7078">
        <w:rPr>
          <w:rFonts w:ascii="Palatino Linotype" w:hAnsi="Palatino Linotype"/>
          <w:lang w:val="en-GB"/>
        </w:rPr>
        <w:t xml:space="preserve"> </w:t>
      </w:r>
    </w:p>
    <w:p w14:paraId="2355496C"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Govindan K., Devika K, &amp; Shankar, M. (2014). Evaluating the drivers of corporate social responsibility in the mining industry with multi-criteria approach: A multi-stakeholder perspective. </w:t>
      </w:r>
      <w:r w:rsidRPr="00BE7078">
        <w:rPr>
          <w:rFonts w:ascii="Palatino Linotype" w:hAnsi="Palatino Linotype"/>
          <w:i/>
          <w:lang w:val="en-GB"/>
        </w:rPr>
        <w:t>Journal of Cleaner Production</w:t>
      </w:r>
      <w:r w:rsidRPr="00BE7078">
        <w:rPr>
          <w:rFonts w:ascii="Palatino Linotype" w:hAnsi="Palatino Linotype"/>
          <w:lang w:val="en-GB"/>
        </w:rPr>
        <w:t xml:space="preserve">. Available from: </w:t>
      </w:r>
      <w:hyperlink r:id="rId25" w:history="1">
        <w:r w:rsidRPr="00BE7078">
          <w:rPr>
            <w:rStyle w:val="Hipervnculo"/>
            <w:rFonts w:ascii="Palatino Linotype" w:hAnsi="Palatino Linotype"/>
            <w:color w:val="auto"/>
            <w:lang w:val="en-GB"/>
          </w:rPr>
          <w:t>http://dx.doi.org/10.1016/</w:t>
        </w:r>
      </w:hyperlink>
      <w:r w:rsidRPr="00BE7078">
        <w:rPr>
          <w:rFonts w:ascii="Palatino Linotype" w:hAnsi="Palatino Linotype"/>
          <w:lang w:val="en-GB"/>
        </w:rPr>
        <w:t xml:space="preserve"> j.jclepro.2013.12.065.</w:t>
      </w:r>
    </w:p>
    <w:p w14:paraId="19EE6DEF"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Christiaan Grootaert (1999). Social Capital, Household Welfare And Poverty In Indonesia, The World Bank.</w:t>
      </w:r>
    </w:p>
    <w:p w14:paraId="6AFC180D"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s-PE"/>
        </w:rPr>
        <w:t xml:space="preserve">Massimo Guidolin and Eliana La Ferrara (2005). </w:t>
      </w:r>
      <w:r w:rsidRPr="00BE7078">
        <w:rPr>
          <w:rFonts w:ascii="Palatino Linotype" w:hAnsi="Palatino Linotype"/>
          <w:lang w:val="en-GB"/>
        </w:rPr>
        <w:t>The Economic Effects of Violent Conflict:</w:t>
      </w:r>
      <w:r>
        <w:rPr>
          <w:rFonts w:ascii="Palatino Linotype" w:hAnsi="Palatino Linotype"/>
          <w:lang w:val="en-GB"/>
        </w:rPr>
        <w:t xml:space="preserve"> </w:t>
      </w:r>
      <w:r w:rsidRPr="00BE7078">
        <w:rPr>
          <w:rFonts w:ascii="Palatino Linotype" w:hAnsi="Palatino Linotype"/>
          <w:lang w:val="en-GB"/>
        </w:rPr>
        <w:t xml:space="preserve">Evidence from Asset Market Reactions. </w:t>
      </w:r>
      <w:r w:rsidRPr="00BE7078">
        <w:rPr>
          <w:rFonts w:ascii="Palatino Linotype" w:hAnsi="Palatino Linotype" w:cs="Times New Roman"/>
          <w:lang w:val="es-PE"/>
        </w:rPr>
        <w:t>Working Paper 2005-066A, Federal Reserve Bank Of St. Louis</w:t>
      </w:r>
    </w:p>
    <w:p w14:paraId="6433ADB2"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Gunninham, N., Kagan, R. &amp; Thornton, D. (2004). Social License and Environmental Protection: Why Business Go Beyond Compliance</w:t>
      </w:r>
      <w:r w:rsidRPr="00BE7078">
        <w:rPr>
          <w:rFonts w:ascii="Palatino Linotype" w:hAnsi="Palatino Linotype"/>
          <w:i/>
          <w:lang w:val="en-GB"/>
        </w:rPr>
        <w:t>. Journal of the American Bar Foundation, 39</w:t>
      </w:r>
      <w:r w:rsidRPr="00BE7078">
        <w:rPr>
          <w:rFonts w:ascii="Palatino Linotype" w:hAnsi="Palatino Linotype"/>
          <w:lang w:val="en-GB"/>
        </w:rPr>
        <w:t>(2),307-341.</w:t>
      </w:r>
    </w:p>
    <w:p w14:paraId="2D9B72FC"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Witold Henisz (2013), Preferences, Structure and Influence: The Engineering of Consent, Global Strategy Journal, 3 (4), 338 - 359.</w:t>
      </w:r>
    </w:p>
    <w:p w14:paraId="3F9707E9" w14:textId="77777777" w:rsidR="00BD7961" w:rsidRPr="00BE7078" w:rsidRDefault="00FA44D6" w:rsidP="00BD7961">
      <w:pPr>
        <w:spacing w:line="240" w:lineRule="auto"/>
        <w:ind w:left="709" w:hanging="709"/>
        <w:jc w:val="both"/>
        <w:rPr>
          <w:rFonts w:ascii="Palatino Linotype" w:hAnsi="Palatino Linotype"/>
          <w:lang w:val="en-GB"/>
        </w:rPr>
      </w:pPr>
      <w:hyperlink r:id="rId26" w:history="1">
        <w:r w:rsidR="00BD7961" w:rsidRPr="00BE7078">
          <w:rPr>
            <w:rFonts w:ascii="Palatino Linotype" w:hAnsi="Palatino Linotype"/>
            <w:lang w:val="en-GB"/>
          </w:rPr>
          <w:t>Witold Henisz</w:t>
        </w:r>
      </w:hyperlink>
      <w:r w:rsidR="00BD7961" w:rsidRPr="00BE7078">
        <w:rPr>
          <w:rFonts w:ascii="Palatino Linotype" w:hAnsi="Palatino Linotype"/>
          <w:lang w:val="en-GB"/>
        </w:rPr>
        <w:t>, </w:t>
      </w:r>
      <w:hyperlink r:id="rId27" w:tgtFrame="_blank" w:history="1">
        <w:r w:rsidR="00BD7961" w:rsidRPr="0029076C">
          <w:rPr>
            <w:rFonts w:ascii="Palatino Linotype" w:hAnsi="Palatino Linotype"/>
            <w:lang w:val="en-GB"/>
          </w:rPr>
          <w:t>Sinziana Dorobantu</w:t>
        </w:r>
      </w:hyperlink>
      <w:r w:rsidR="00BD7961" w:rsidRPr="0029076C">
        <w:rPr>
          <w:rFonts w:ascii="Palatino Linotype" w:hAnsi="Palatino Linotype"/>
          <w:lang w:val="en-GB"/>
        </w:rPr>
        <w:t>, </w:t>
      </w:r>
      <w:hyperlink r:id="rId28" w:tgtFrame="_blank" w:history="1">
        <w:r w:rsidR="00BD7961" w:rsidRPr="0029076C">
          <w:rPr>
            <w:rFonts w:ascii="Palatino Linotype" w:hAnsi="Palatino Linotype"/>
            <w:lang w:val="en-GB"/>
          </w:rPr>
          <w:t>Lite Nartey</w:t>
        </w:r>
      </w:hyperlink>
      <w:r w:rsidR="00BD7961" w:rsidRPr="0029076C">
        <w:rPr>
          <w:rFonts w:ascii="Palatino Linotype" w:hAnsi="Palatino Linotype"/>
          <w:lang w:val="en-GB"/>
        </w:rPr>
        <w:t> (2014), </w:t>
      </w:r>
      <w:hyperlink r:id="rId29" w:tgtFrame="_blank" w:history="1">
        <w:r w:rsidR="00BD7961" w:rsidRPr="0029076C">
          <w:rPr>
            <w:rFonts w:ascii="Palatino Linotype" w:hAnsi="Palatino Linotype"/>
            <w:bCs/>
            <w:lang w:val="en-GB"/>
          </w:rPr>
          <w:t>Spinning Gold: The Financial and Operational Returns to External Stakeholder Engagement</w:t>
        </w:r>
      </w:hyperlink>
      <w:r w:rsidR="00BD7961" w:rsidRPr="00BE7078">
        <w:rPr>
          <w:rFonts w:ascii="Palatino Linotype" w:hAnsi="Palatino Linotype"/>
          <w:lang w:val="en-GB"/>
        </w:rPr>
        <w:t>, </w:t>
      </w:r>
      <w:r w:rsidR="00BD7961" w:rsidRPr="00BE7078">
        <w:rPr>
          <w:rFonts w:ascii="Palatino Linotype" w:hAnsi="Palatino Linotype"/>
          <w:i/>
          <w:iCs/>
          <w:lang w:val="en-GB"/>
        </w:rPr>
        <w:t>Strategic Management Journal</w:t>
      </w:r>
      <w:r w:rsidR="00BD7961" w:rsidRPr="00BE7078">
        <w:rPr>
          <w:rFonts w:ascii="Palatino Linotype" w:hAnsi="Palatino Linotype"/>
          <w:lang w:val="en-GB"/>
        </w:rPr>
        <w:t>, 35 (12), 1727 – 1748</w:t>
      </w:r>
    </w:p>
    <w:p w14:paraId="201751BC" w14:textId="77777777" w:rsidR="00BD7961" w:rsidRPr="0029076C"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Hilson G. (2002). An overview of land use conflicts in mining communities. </w:t>
      </w:r>
      <w:r w:rsidRPr="00BE7078">
        <w:rPr>
          <w:rFonts w:ascii="Palatino Linotype" w:hAnsi="Palatino Linotype"/>
          <w:i/>
          <w:lang w:val="en-GB"/>
        </w:rPr>
        <w:t>Land Use Policy, 19</w:t>
      </w:r>
      <w:r w:rsidRPr="00BE7078">
        <w:rPr>
          <w:rFonts w:ascii="Palatino Linotype" w:hAnsi="Palatino Linotype"/>
          <w:lang w:val="en-GB"/>
        </w:rPr>
        <w:t xml:space="preserve">(1), 65–73. </w:t>
      </w:r>
    </w:p>
    <w:p w14:paraId="39A755D7"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Hilson G, Yakovleva N. (2006) 'Strained relations: a critical assessment of the mining conflict in Prestea, Ghana'. in Hilson GM (ed.) Small-scale Mining, Rural Subsistence and Poverty in West Africa Practical Action Pub , pp. 241-251.</w:t>
      </w:r>
    </w:p>
    <w:p w14:paraId="6394E9F4"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Hotte, L. (2001). Conflicts over property rights and natural-resource exploitation at the frontier. Journal of Development Economics, 66, 1-21.</w:t>
      </w:r>
    </w:p>
    <w:p w14:paraId="62E00F1A"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lastRenderedPageBreak/>
        <w:t xml:space="preserve">Humpe, A, Peter, M.: (2009). Can Macroeconomic variables Explain Long Term Stock Market Movements? A Comparison of the US and Japan, Applied Financial Economics. 19, 111-119. </w:t>
      </w:r>
    </w:p>
    <w:p w14:paraId="48B05400"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Jepsen, D., Joseph, B., McIntosh, B., McKnight, B., 2005. Mineral Exploration, Mining and Aboriginal Community Engagement: A Guidebook. Presented by AMEBC in association with CBSR.</w:t>
      </w:r>
    </w:p>
    <w:p w14:paraId="2F9371FF" w14:textId="77777777" w:rsidR="00BD7961" w:rsidRPr="0029076C"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b/>
          <w:color w:val="FF0000"/>
          <w:lang w:val="en-US"/>
        </w:rPr>
        <w:t xml:space="preserve"> </w:t>
      </w:r>
      <w:r w:rsidRPr="00335CB6">
        <w:rPr>
          <w:rFonts w:ascii="Palatino Linotype" w:hAnsi="Palatino Linotype"/>
          <w:lang w:val="en-US"/>
        </w:rPr>
        <w:t xml:space="preserve">Jo, H., &amp; Harjoto, M.A. (2011). </w:t>
      </w:r>
      <w:r w:rsidRPr="00BE7078">
        <w:rPr>
          <w:rFonts w:ascii="Palatino Linotype" w:hAnsi="Palatino Linotype"/>
          <w:lang w:val="en-GB"/>
        </w:rPr>
        <w:t xml:space="preserve">Corporate governance and firm value: The impact of corporate social responsibility. </w:t>
      </w:r>
      <w:r w:rsidRPr="00BE7078">
        <w:rPr>
          <w:rFonts w:ascii="Palatino Linotype" w:hAnsi="Palatino Linotype"/>
          <w:i/>
          <w:lang w:val="en-GB"/>
        </w:rPr>
        <w:t>Journal of Business Ethics, 103</w:t>
      </w:r>
      <w:r w:rsidRPr="00BE7078">
        <w:rPr>
          <w:rFonts w:ascii="Palatino Linotype" w:hAnsi="Palatino Linotype"/>
          <w:lang w:val="en-GB"/>
        </w:rPr>
        <w:t>, 351-383.</w:t>
      </w:r>
    </w:p>
    <w:p w14:paraId="46890FFD" w14:textId="77777777" w:rsidR="00BD7961" w:rsidRPr="00335CB6" w:rsidRDefault="00BD7961" w:rsidP="00BD7961">
      <w:pPr>
        <w:spacing w:line="240" w:lineRule="auto"/>
        <w:ind w:left="709" w:hanging="709"/>
        <w:jc w:val="both"/>
        <w:rPr>
          <w:rFonts w:ascii="Palatino Linotype" w:hAnsi="Palatino Linotype"/>
          <w:lang w:val="en-US"/>
        </w:rPr>
      </w:pPr>
      <w:r w:rsidRPr="00335CB6">
        <w:rPr>
          <w:rFonts w:ascii="Palatino Linotype" w:hAnsi="Palatino Linotype"/>
          <w:lang w:val="en-US"/>
        </w:rPr>
        <w:t xml:space="preserve">Jones, G., Jones B., &amp; Little P. 2000. Reputation as reservoir: Buffering against loss in times of economic crisis. </w:t>
      </w:r>
      <w:r w:rsidRPr="00335CB6">
        <w:rPr>
          <w:rFonts w:ascii="Palatino Linotype" w:hAnsi="Palatino Linotype"/>
          <w:bCs/>
          <w:i/>
          <w:iCs/>
          <w:lang w:val="en-US"/>
        </w:rPr>
        <w:t>Corporate Reputation Review</w:t>
      </w:r>
      <w:r w:rsidRPr="00335CB6">
        <w:rPr>
          <w:rFonts w:ascii="Palatino Linotype" w:hAnsi="Palatino Linotype"/>
          <w:lang w:val="en-US"/>
        </w:rPr>
        <w:t>, 3(1), 53-79.</w:t>
      </w:r>
    </w:p>
    <w:p w14:paraId="13373A46" w14:textId="77777777" w:rsidR="00BD7961" w:rsidRPr="00335CB6" w:rsidRDefault="00BD7961" w:rsidP="00BD7961">
      <w:pPr>
        <w:spacing w:line="240" w:lineRule="auto"/>
        <w:ind w:left="709" w:hanging="709"/>
        <w:jc w:val="both"/>
        <w:rPr>
          <w:rFonts w:ascii="Palatino Linotype" w:hAnsi="Palatino Linotype"/>
          <w:lang w:val="en-US"/>
        </w:rPr>
      </w:pPr>
      <w:r w:rsidRPr="00335CB6">
        <w:rPr>
          <w:rFonts w:ascii="Palatino Linotype" w:hAnsi="Palatino Linotype"/>
          <w:lang w:val="en-US"/>
        </w:rPr>
        <w:t xml:space="preserve">Jones, T. M. 1995. Instrumental stakeholder theory: A synthesis of ethics and economics. </w:t>
      </w:r>
      <w:r w:rsidRPr="00335CB6">
        <w:rPr>
          <w:rFonts w:ascii="Palatino Linotype" w:hAnsi="Palatino Linotype"/>
          <w:bCs/>
          <w:i/>
          <w:iCs/>
          <w:lang w:val="en-US"/>
        </w:rPr>
        <w:t>Academy of Management Review</w:t>
      </w:r>
      <w:r w:rsidRPr="00335CB6">
        <w:rPr>
          <w:rFonts w:ascii="Palatino Linotype" w:hAnsi="Palatino Linotype"/>
          <w:i/>
          <w:iCs/>
          <w:lang w:val="en-US"/>
        </w:rPr>
        <w:t xml:space="preserve">, </w:t>
      </w:r>
      <w:r w:rsidRPr="00335CB6">
        <w:rPr>
          <w:rFonts w:ascii="Palatino Linotype" w:hAnsi="Palatino Linotype"/>
          <w:lang w:val="en-US"/>
        </w:rPr>
        <w:t xml:space="preserve">20: 404–437. </w:t>
      </w:r>
    </w:p>
    <w:p w14:paraId="48C34F58" w14:textId="77777777" w:rsidR="00BD7961" w:rsidRPr="00335CB6" w:rsidRDefault="00BD7961" w:rsidP="00BD7961">
      <w:pPr>
        <w:spacing w:line="240" w:lineRule="auto"/>
        <w:ind w:left="709" w:hanging="709"/>
        <w:jc w:val="both"/>
        <w:rPr>
          <w:rFonts w:ascii="Palatino Linotype" w:hAnsi="Palatino Linotype"/>
          <w:lang w:val="en-US"/>
        </w:rPr>
      </w:pPr>
      <w:r w:rsidRPr="00BE7078">
        <w:rPr>
          <w:rFonts w:ascii="Palatino Linotype" w:hAnsi="Palatino Linotype"/>
          <w:lang w:val="en-GB"/>
        </w:rPr>
        <w:t xml:space="preserve">Kemp, D., "Community relations in the global mining industry: exploring the internal dimensions of externally oriented work", Corporate Social Responsibility and Environmental Management, vol. 17, 2010, p.1-14 </w:t>
      </w:r>
    </w:p>
    <w:p w14:paraId="07C7BA7D"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Kemp, D., Owen, J.R., Gotzmann, N. &amp; Bond, C.J. (2010) Just Relations and Company-Community Conflict in Mining. </w:t>
      </w:r>
      <w:r w:rsidRPr="00BE7078">
        <w:rPr>
          <w:rFonts w:ascii="Palatino Linotype" w:hAnsi="Palatino Linotype"/>
          <w:i/>
          <w:lang w:val="en-GB"/>
        </w:rPr>
        <w:t>Journal of Business Ethics, 101</w:t>
      </w:r>
      <w:r w:rsidRPr="00BE7078">
        <w:rPr>
          <w:rFonts w:ascii="Palatino Linotype" w:hAnsi="Palatino Linotype"/>
          <w:lang w:val="en-GB"/>
        </w:rPr>
        <w:t>, 93-109.</w:t>
      </w:r>
    </w:p>
    <w:p w14:paraId="144A06E2" w14:textId="77777777" w:rsidR="00BD7961" w:rsidRPr="00BE7078"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 xml:space="preserve">Kemp, D., Owen, J.R., Van de Graaff, S. (2012). </w:t>
      </w:r>
      <w:r w:rsidRPr="00BE7078">
        <w:rPr>
          <w:rFonts w:ascii="Palatino Linotype" w:hAnsi="Palatino Linotype"/>
          <w:lang w:val="en-GB"/>
        </w:rPr>
        <w:t xml:space="preserve">Corporate social responsibility, mining and “audit culture”. </w:t>
      </w:r>
      <w:r w:rsidRPr="00BE7078">
        <w:rPr>
          <w:rFonts w:ascii="Palatino Linotype" w:hAnsi="Palatino Linotype"/>
          <w:i/>
          <w:lang w:val="en-GB"/>
        </w:rPr>
        <w:t>Journal of Cleaner Production, 24</w:t>
      </w:r>
      <w:r w:rsidRPr="00BE7078">
        <w:rPr>
          <w:rFonts w:ascii="Palatino Linotype" w:hAnsi="Palatino Linotype"/>
          <w:lang w:val="en-GB"/>
        </w:rPr>
        <w:t xml:space="preserve">, 1-10. </w:t>
      </w:r>
    </w:p>
    <w:p w14:paraId="76F6CBCA"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Knapp, P. (1994). </w:t>
      </w:r>
      <w:r w:rsidRPr="00BE7078">
        <w:rPr>
          <w:rFonts w:ascii="Palatino Linotype" w:hAnsi="Palatino Linotype"/>
          <w:i/>
          <w:lang w:val="en-GB"/>
        </w:rPr>
        <w:t>One World – Many Worlds: Contemporary Sociological Theory</w:t>
      </w:r>
      <w:r w:rsidRPr="00BE7078">
        <w:rPr>
          <w:rFonts w:ascii="Palatino Linotype" w:hAnsi="Palatino Linotype"/>
          <w:lang w:val="en-GB"/>
        </w:rPr>
        <w:t>. Harpercollins College Division, 2nd Ed..</w:t>
      </w:r>
    </w:p>
    <w:p w14:paraId="74F4ED5B" w14:textId="77777777" w:rsidR="00BD7961" w:rsidRPr="0029076C"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Justine Lacey y Julian Lamont ( 2013). Using social contract to inform social licence to operate: an application in the Australian coal seam gas industry. Journal of Cleaner Production, pp1-9</w:t>
      </w:r>
    </w:p>
    <w:p w14:paraId="7342A854" w14:textId="77777777" w:rsidR="00BD7961" w:rsidRPr="0029076C" w:rsidRDefault="00BD7961" w:rsidP="00BD7961">
      <w:pPr>
        <w:spacing w:line="240" w:lineRule="auto"/>
        <w:ind w:left="709" w:hanging="709"/>
        <w:jc w:val="both"/>
        <w:rPr>
          <w:rFonts w:ascii="Palatino Linotype" w:hAnsi="Palatino Linotype"/>
          <w:lang w:val="es-ES"/>
        </w:rPr>
      </w:pPr>
      <w:r w:rsidRPr="00BE7078">
        <w:rPr>
          <w:rFonts w:ascii="Palatino Linotype" w:hAnsi="Palatino Linotype"/>
          <w:lang w:val="en-GB"/>
        </w:rPr>
        <w:t xml:space="preserve">Margolis, J.D., &amp; Walsh, J.P. (2003). Misery loves companies: Rethinking social initiatives by business. </w:t>
      </w:r>
      <w:r w:rsidRPr="00BE7078">
        <w:rPr>
          <w:rFonts w:ascii="Palatino Linotype" w:hAnsi="Palatino Linotype"/>
          <w:i/>
          <w:lang w:val="es-ES"/>
        </w:rPr>
        <w:t>Administrative Science Quarterly, 48</w:t>
      </w:r>
      <w:r w:rsidRPr="00BE7078">
        <w:rPr>
          <w:rFonts w:ascii="Palatino Linotype" w:hAnsi="Palatino Linotype"/>
          <w:lang w:val="es-ES"/>
        </w:rPr>
        <w:t>, 268-305.</w:t>
      </w:r>
    </w:p>
    <w:p w14:paraId="5F408A7C"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Kieren Moffat y Airong Zhang (2014). The paths to social licence to operate: An integrative model explaining community acceptance of mining. Resources Policy. Volume 39, March 2014, Pages 61–70</w:t>
      </w:r>
    </w:p>
    <w:p w14:paraId="4A0DAD82"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Mulyadi, M.S.,&amp;  Anwar, Y. (2011). Investor’s perception on corporate responsibility of Indonesian listed companies. </w:t>
      </w:r>
      <w:r w:rsidRPr="00BE7078">
        <w:rPr>
          <w:rFonts w:ascii="Palatino Linotype" w:hAnsi="Palatino Linotype"/>
          <w:i/>
          <w:lang w:val="en-GB"/>
        </w:rPr>
        <w:t>African Journal of Business Management, 5</w:t>
      </w:r>
      <w:r w:rsidRPr="00BE7078">
        <w:rPr>
          <w:rFonts w:ascii="Palatino Linotype" w:hAnsi="Palatino Linotype"/>
          <w:lang w:val="en-GB"/>
        </w:rPr>
        <w:t>, 3630-3634.</w:t>
      </w:r>
    </w:p>
    <w:p w14:paraId="09C634BD"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Muradian R., Martinez-Alier J. y Correa H. (2003), “International capital versus local population: The Environmental Conflict of the Tambogrande Mining Project, Peru”, Society and Natural Resources Vol. 16. </w:t>
      </w:r>
    </w:p>
    <w:p w14:paraId="13E1E857"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lastRenderedPageBreak/>
        <w:t xml:space="preserve">Narayan, D., Pritchett, L., 1999. Cents and sociability: household income and social capital in rural Tanzania. Economic Development and Cultural Change 47 (4), 871–897. </w:t>
      </w:r>
    </w:p>
    <w:p w14:paraId="5C9B157D" w14:textId="77777777" w:rsidR="00BD7961" w:rsidRPr="0029076C"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Nelsen, J.&amp; Scoble, M., "Social Licence to Operate Mines: Issues of Situational Analysis and Process, Department of Mining Engineering", 2006, </w:t>
      </w:r>
      <w:r w:rsidRPr="00BE7078">
        <w:rPr>
          <w:rFonts w:ascii="Cambria Math" w:hAnsi="Cambria Math" w:cs="Cambria Math"/>
          <w:lang w:val="en-GB"/>
        </w:rPr>
        <w:t>〈</w:t>
      </w:r>
      <w:r w:rsidRPr="00BE7078">
        <w:rPr>
          <w:rFonts w:ascii="Palatino Linotype" w:hAnsi="Palatino Linotype"/>
          <w:lang w:val="en-GB"/>
        </w:rPr>
        <w:t>http://www.mining.ubc.ca/files/SocialLicense/Final%20MPES%20Paper.pdf</w:t>
      </w:r>
      <w:r w:rsidRPr="00BE7078">
        <w:rPr>
          <w:rFonts w:ascii="Cambria Math" w:hAnsi="Cambria Math" w:cs="Cambria Math"/>
          <w:lang w:val="en-GB"/>
        </w:rPr>
        <w:t>〉</w:t>
      </w:r>
      <w:r w:rsidRPr="00BE7078">
        <w:rPr>
          <w:rFonts w:ascii="Palatino Linotype" w:hAnsi="Palatino Linotype"/>
          <w:lang w:val="en-GB"/>
        </w:rPr>
        <w:t xml:space="preserve"> (accessed on: December 9, 2011) </w:t>
      </w:r>
    </w:p>
    <w:p w14:paraId="44944BFA"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Nelling, E., &amp; Webb, E. (2009). Corporate social responsibility and financial performance: The “virtuous circle” revisited. </w:t>
      </w:r>
      <w:r w:rsidRPr="00BE7078">
        <w:rPr>
          <w:rFonts w:ascii="Palatino Linotype" w:hAnsi="Palatino Linotype"/>
          <w:i/>
          <w:lang w:val="en-GB"/>
        </w:rPr>
        <w:t>Review of Quantitative Finance and Accounting, 32</w:t>
      </w:r>
      <w:r w:rsidRPr="00BE7078">
        <w:rPr>
          <w:rFonts w:ascii="Palatino Linotype" w:hAnsi="Palatino Linotype"/>
          <w:lang w:val="en-GB"/>
        </w:rPr>
        <w:t>, 197-209.</w:t>
      </w:r>
    </w:p>
    <w:p w14:paraId="0833A16C"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Oberschall, A. (1978). Theories of Social Conflict. </w:t>
      </w:r>
      <w:r w:rsidRPr="00BE7078">
        <w:rPr>
          <w:rFonts w:ascii="Palatino Linotype" w:hAnsi="Palatino Linotype"/>
          <w:i/>
          <w:lang w:val="en-GB"/>
        </w:rPr>
        <w:t>Annual Review of Sociology, 4</w:t>
      </w:r>
      <w:r w:rsidRPr="00BE7078">
        <w:rPr>
          <w:rFonts w:ascii="Palatino Linotype" w:hAnsi="Palatino Linotype"/>
          <w:lang w:val="en-GB"/>
        </w:rPr>
        <w:t>, 291-315.</w:t>
      </w:r>
    </w:p>
    <w:p w14:paraId="3FC4596B"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Paine, L. (2003</w:t>
      </w:r>
      <w:r w:rsidRPr="00BE7078">
        <w:rPr>
          <w:rFonts w:ascii="Palatino Linotype" w:hAnsi="Palatino Linotype"/>
          <w:i/>
          <w:lang w:val="en-GB"/>
        </w:rPr>
        <w:t>). Value shift: why companies must merge social and financial imperatives  to achieve superior performance</w:t>
      </w:r>
      <w:r w:rsidRPr="00BE7078">
        <w:rPr>
          <w:rFonts w:ascii="Palatino Linotype" w:hAnsi="Palatino Linotype"/>
          <w:lang w:val="en-GB"/>
        </w:rPr>
        <w:t>. McGraw-Hill, USA.</w:t>
      </w:r>
      <w:r>
        <w:rPr>
          <w:rFonts w:ascii="Palatino Linotype" w:hAnsi="Palatino Linotype"/>
          <w:lang w:val="en-GB"/>
        </w:rPr>
        <w:t xml:space="preserve"> </w:t>
      </w:r>
    </w:p>
    <w:p w14:paraId="6AA725A6"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Papadimitriou Theophilos, Gogas Periklis, Vasilios </w:t>
      </w:r>
      <w:r>
        <w:rPr>
          <w:rFonts w:ascii="Palatino Linotype" w:hAnsi="Palatino Linotype"/>
          <w:lang w:val="en-GB"/>
        </w:rPr>
        <w:t xml:space="preserve">Plakandaras and Mourmouris John </w:t>
      </w:r>
      <w:r w:rsidRPr="00BE7078">
        <w:rPr>
          <w:rFonts w:ascii="Palatino Linotype" w:hAnsi="Palatino Linotype"/>
          <w:lang w:val="en-GB"/>
        </w:rPr>
        <w:t>(2013), “Forecasting the insolvency of US banks w</w:t>
      </w:r>
      <w:r>
        <w:rPr>
          <w:rFonts w:ascii="Palatino Linotype" w:hAnsi="Palatino Linotype"/>
          <w:lang w:val="en-GB"/>
        </w:rPr>
        <w:t xml:space="preserve">ith Support Vector Machines, </w:t>
      </w:r>
      <w:r w:rsidRPr="00BE7078">
        <w:rPr>
          <w:rFonts w:ascii="Palatino Linotype" w:hAnsi="Palatino Linotype"/>
          <w:lang w:val="en-GB"/>
        </w:rPr>
        <w:t xml:space="preserve">Journal of Computational Economics and Econometrics, vol. 3 no 1/2. </w:t>
      </w:r>
    </w:p>
    <w:p w14:paraId="295C51F5" w14:textId="77777777" w:rsidR="00BD7961" w:rsidRDefault="00BD7961" w:rsidP="00BD7961">
      <w:pPr>
        <w:spacing w:line="240" w:lineRule="auto"/>
        <w:ind w:left="709" w:hanging="709"/>
        <w:jc w:val="both"/>
        <w:rPr>
          <w:rFonts w:ascii="Palatino Linotype" w:hAnsi="Palatino Linotype"/>
          <w:lang w:val="es-ES"/>
        </w:rPr>
      </w:pPr>
      <w:r w:rsidRPr="00BE7078">
        <w:rPr>
          <w:rFonts w:ascii="Palatino Linotype" w:hAnsi="Palatino Linotype"/>
          <w:lang w:val="en-GB"/>
        </w:rPr>
        <w:t xml:space="preserve">PDAC (Prospectors &amp; Developers Association of Canada) (2014). </w:t>
      </w:r>
      <w:r w:rsidRPr="00BE7078">
        <w:rPr>
          <w:rFonts w:ascii="Palatino Linotype" w:hAnsi="Palatino Linotype"/>
          <w:i/>
          <w:lang w:val="en-GB"/>
        </w:rPr>
        <w:t>Excellence in Social Responsibility e-toolkit (ERS</w:t>
      </w:r>
      <w:r w:rsidRPr="00BE7078">
        <w:rPr>
          <w:rFonts w:ascii="Palatino Linotype" w:hAnsi="Palatino Linotype"/>
          <w:lang w:val="en-GB"/>
        </w:rPr>
        <w:t xml:space="preserve">). </w:t>
      </w:r>
      <w:r w:rsidRPr="00BE7078">
        <w:rPr>
          <w:rFonts w:ascii="Palatino Linotype" w:hAnsi="Palatino Linotype"/>
          <w:lang w:val="es-ES"/>
        </w:rPr>
        <w:t xml:space="preserve">Disponible en: </w:t>
      </w:r>
      <w:hyperlink r:id="rId30" w:history="1">
        <w:r w:rsidRPr="009A3D02">
          <w:rPr>
            <w:rStyle w:val="Hipervnculo"/>
            <w:rFonts w:ascii="Palatino Linotype" w:hAnsi="Palatino Linotype"/>
            <w:lang w:val="es-ES"/>
          </w:rPr>
          <w:t>http://www.pdac.ca/programs/e3-plus</w:t>
        </w:r>
      </w:hyperlink>
    </w:p>
    <w:p w14:paraId="55C0F91F"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s-PE"/>
        </w:rPr>
        <w:t xml:space="preserve">Platteau, Jean-Philippe. </w:t>
      </w:r>
      <w:r w:rsidRPr="00BE7078">
        <w:rPr>
          <w:rFonts w:ascii="Palatino Linotype" w:hAnsi="Palatino Linotype"/>
          <w:lang w:val="en-GB"/>
        </w:rPr>
        <w:t xml:space="preserve">1994. “Behind the Market Stage Where Real Societies Exist” [Parts I &amp; II] Journal of Development </w:t>
      </w:r>
      <w:r>
        <w:rPr>
          <w:rFonts w:ascii="Palatino Linotype" w:hAnsi="Palatino Linotype"/>
          <w:lang w:val="en-GB"/>
        </w:rPr>
        <w:t>Studies 30: 533-577 and 753-817.</w:t>
      </w:r>
    </w:p>
    <w:p w14:paraId="67220149" w14:textId="77777777" w:rsidR="00BD7961" w:rsidRPr="00335CB6" w:rsidRDefault="00BD7961" w:rsidP="00BD7961">
      <w:pPr>
        <w:spacing w:line="240" w:lineRule="auto"/>
        <w:ind w:left="709" w:hanging="709"/>
        <w:jc w:val="both"/>
        <w:rPr>
          <w:rFonts w:ascii="Palatino Linotype" w:hAnsi="Palatino Linotype"/>
          <w:lang w:val="en-US"/>
        </w:rPr>
      </w:pPr>
      <w:r w:rsidRPr="00BE7078">
        <w:rPr>
          <w:rFonts w:ascii="Palatino Linotype" w:hAnsi="Palatino Linotype"/>
          <w:lang w:val="en-GB"/>
        </w:rPr>
        <w:t>Woolcock, Michael (1998) “Social Capital and Economic Development: Toward a Theoretical Synthesis and Policy Framework” Theory and Society 27(2): 151-208.</w:t>
      </w:r>
    </w:p>
    <w:p w14:paraId="1E98445C" w14:textId="77777777" w:rsidR="00BD7961" w:rsidRPr="00BE7078" w:rsidRDefault="00BD7961" w:rsidP="00BD7961">
      <w:pPr>
        <w:spacing w:line="240" w:lineRule="auto"/>
        <w:jc w:val="both"/>
        <w:rPr>
          <w:rFonts w:ascii="Palatino Linotype" w:hAnsi="Palatino Linotype"/>
          <w:lang w:val="en-GB"/>
        </w:rPr>
      </w:pPr>
      <w:r w:rsidRPr="00BE7078">
        <w:rPr>
          <w:rFonts w:ascii="Palatino Linotype" w:hAnsi="Palatino Linotype"/>
          <w:lang w:val="en-GB"/>
        </w:rPr>
        <w:t>Prno y Slocombe (2012). Exploring the origins of ‘social license to operate’ in the mining sector: Perspectives from governance and sustainability theories. Resources Policy, 37(3), 346-357</w:t>
      </w:r>
    </w:p>
    <w:p w14:paraId="5283340B" w14:textId="77777777" w:rsidR="00BD7961"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lang w:val="en-US"/>
        </w:rPr>
        <w:t xml:space="preserve">Prno, J.  </w:t>
      </w:r>
      <w:r w:rsidRPr="00BE7078">
        <w:rPr>
          <w:rFonts w:ascii="Palatino Linotype" w:hAnsi="Palatino Linotype"/>
          <w:lang w:val="en-GB"/>
        </w:rPr>
        <w:t xml:space="preserve">(2013). An analysis of factors leading to the establishment of a social licence to operate in the mining industry. </w:t>
      </w:r>
      <w:r w:rsidRPr="00BE7078">
        <w:rPr>
          <w:rFonts w:ascii="Palatino Linotype" w:hAnsi="Palatino Linotype"/>
          <w:i/>
          <w:lang w:val="en-GB"/>
        </w:rPr>
        <w:t xml:space="preserve">Resources Policy, 38 </w:t>
      </w:r>
      <w:r w:rsidRPr="00BE7078">
        <w:rPr>
          <w:rFonts w:ascii="Palatino Linotype" w:hAnsi="Palatino Linotype"/>
          <w:lang w:val="en-GB"/>
        </w:rPr>
        <w:t xml:space="preserve">(4), 577-590. </w:t>
      </w:r>
    </w:p>
    <w:p w14:paraId="0E7073CC"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Putnam, Robert. 1993. Making Democracy Work: Civic Traditions in Modern Italy Princeton, NJ: Princeton University Press</w:t>
      </w:r>
    </w:p>
    <w:p w14:paraId="0B171EDF"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Putnam, Robert. 1995. “Tuning In, Tuning Out: The Strange Disappearance of Social Capital in America” PS: Political Science and Politics December: 664-683</w:t>
      </w:r>
    </w:p>
    <w:p w14:paraId="1108089D"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Putnam, Robert. 2000. Bowling Alone: Civic Disengagement in America New York: Simon and Schuster.</w:t>
      </w:r>
    </w:p>
    <w:p w14:paraId="7C3F19F7"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lastRenderedPageBreak/>
        <w:t xml:space="preserve">Ravn, M. and Sola, M. (2004), “Asymmetric Effects of Monetary Policy in the U.S.: Positive versus Negative or Big versus Small?” Federal Reserve Bank of </w:t>
      </w:r>
      <w:r>
        <w:rPr>
          <w:rFonts w:ascii="Palatino Linotype" w:hAnsi="Palatino Linotype"/>
          <w:lang w:val="en-GB"/>
        </w:rPr>
        <w:t>St. Louis Review, 86(5), 41–60.</w:t>
      </w:r>
    </w:p>
    <w:p w14:paraId="1BD41C02"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Rees, C., Kemp, D., &amp; Davis, R. (2012) Conflict Management and Corporate Culture in the Extractive Industries: </w:t>
      </w:r>
      <w:r w:rsidRPr="00BE7078">
        <w:rPr>
          <w:rFonts w:ascii="Palatino Linotype" w:hAnsi="Palatino Linotype"/>
          <w:i/>
          <w:lang w:val="en-GB"/>
        </w:rPr>
        <w:t>A Study in Peru. Corporate Social Responsibility Initiative Report 50</w:t>
      </w:r>
      <w:r w:rsidRPr="00BE7078">
        <w:rPr>
          <w:rFonts w:ascii="Palatino Linotype" w:hAnsi="Palatino Linotype"/>
          <w:lang w:val="en-GB"/>
        </w:rPr>
        <w:t xml:space="preserve"> John F. Kennedy School of Government, Harvard University, Cambridge, MA.</w:t>
      </w:r>
    </w:p>
    <w:p w14:paraId="33433532"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Robison, L.J., and Siles, M.E. (1997), “Social Capital y Household Income Distributions in the United States: 1980, 1990, Michigan State University”, Department of Agricultural Economics Report No. 595 y The Julian Samora Research Institute, Research Report 18, East Lansing, October, Michigan.</w:t>
      </w:r>
    </w:p>
    <w:p w14:paraId="345C890B" w14:textId="77777777" w:rsidR="00BD7961" w:rsidRPr="00BE7078" w:rsidRDefault="00BD7961" w:rsidP="00BD7961">
      <w:pPr>
        <w:spacing w:line="240" w:lineRule="auto"/>
        <w:ind w:left="709" w:hanging="709"/>
        <w:jc w:val="both"/>
        <w:rPr>
          <w:rFonts w:ascii="Palatino Linotype" w:hAnsi="Palatino Linotype"/>
          <w:lang w:val="en-GB"/>
        </w:rPr>
      </w:pPr>
      <w:r w:rsidRPr="004829E7">
        <w:rPr>
          <w:rFonts w:ascii="Palatino Linotype" w:hAnsi="Palatino Linotype"/>
          <w:lang w:val="en-US"/>
        </w:rPr>
        <w:t xml:space="preserve">Ross, M., (2006). </w:t>
      </w:r>
      <w:r w:rsidRPr="00BE7078">
        <w:rPr>
          <w:rFonts w:ascii="Palatino Linotype" w:hAnsi="Palatino Linotype"/>
          <w:lang w:val="en-GB"/>
        </w:rPr>
        <w:t>A Closer Look at Oil, Diamonds, and Civil War</w:t>
      </w:r>
      <w:r w:rsidRPr="00BE7078">
        <w:rPr>
          <w:rFonts w:ascii="Palatino Linotype" w:hAnsi="Palatino Linotype"/>
          <w:i/>
          <w:lang w:val="en-GB"/>
        </w:rPr>
        <w:t>. Annual Review of Political Science, 9</w:t>
      </w:r>
      <w:r w:rsidRPr="00BE7078">
        <w:rPr>
          <w:rFonts w:ascii="Palatino Linotype" w:hAnsi="Palatino Linotype"/>
          <w:lang w:val="en-GB"/>
        </w:rPr>
        <w:t>, 265-300.</w:t>
      </w:r>
    </w:p>
    <w:p w14:paraId="5D024895" w14:textId="77777777" w:rsidR="00BD7961" w:rsidRPr="00BE7078" w:rsidRDefault="00BD7961" w:rsidP="00BD7961">
      <w:pPr>
        <w:spacing w:line="240" w:lineRule="auto"/>
        <w:ind w:left="709" w:hanging="709"/>
        <w:jc w:val="both"/>
        <w:rPr>
          <w:rFonts w:ascii="Palatino Linotype" w:hAnsi="Palatino Linotype"/>
          <w:lang w:val="en-GB"/>
        </w:rPr>
      </w:pPr>
      <w:r w:rsidRPr="00335CB6">
        <w:rPr>
          <w:rFonts w:ascii="Palatino Linotype" w:hAnsi="Palatino Linotype" w:cs="Arial"/>
          <w:color w:val="222222"/>
          <w:shd w:val="clear" w:color="auto" w:fill="FFFFFF"/>
          <w:lang w:val="en-US"/>
        </w:rPr>
        <w:t>Rowe, G.&amp; Frewer, L.J., "Public participation methods: a framework for evaluation", Science, Technology, &amp; Human Values, vol. 25, 2000, p.3-29</w:t>
      </w:r>
      <w:r w:rsidRPr="00BE7078">
        <w:rPr>
          <w:rFonts w:ascii="Palatino Linotype" w:hAnsi="Palatino Linotype"/>
          <w:lang w:val="en-GB"/>
        </w:rPr>
        <w:t xml:space="preserve"> </w:t>
      </w:r>
    </w:p>
    <w:p w14:paraId="3BA750F3"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Salzmann, O. , Ionescu-Somers, A. &amp; Steger, U. (2006). Corporate License to Operate (LTO) –</w:t>
      </w:r>
      <w:r w:rsidRPr="00BE7078">
        <w:rPr>
          <w:rFonts w:ascii="Palatino Linotype" w:hAnsi="Palatino Linotype"/>
          <w:i/>
          <w:lang w:val="en-GB"/>
        </w:rPr>
        <w:t>Review of the Literature and Research Options</w:t>
      </w:r>
      <w:r w:rsidRPr="00BE7078">
        <w:rPr>
          <w:rFonts w:ascii="Palatino Linotype" w:hAnsi="Palatino Linotype"/>
          <w:lang w:val="en-GB"/>
        </w:rPr>
        <w:t>.  Disponible en: https://www.imd.org/ research/publications/upload/CSM_Salzmann_Ionescu_Somers_Steger_WP_2006_23.pdf</w:t>
      </w:r>
    </w:p>
    <w:p w14:paraId="1CD9456F" w14:textId="77777777" w:rsidR="00BD7961" w:rsidRPr="00BE7078" w:rsidRDefault="00BD7961" w:rsidP="00BD7961">
      <w:pPr>
        <w:spacing w:line="240" w:lineRule="auto"/>
        <w:ind w:left="709" w:hanging="709"/>
        <w:jc w:val="both"/>
        <w:rPr>
          <w:rFonts w:ascii="Palatino Linotype" w:hAnsi="Palatino Linotype"/>
          <w:lang w:val="es-ES"/>
        </w:rPr>
      </w:pPr>
      <w:r w:rsidRPr="00BE7078">
        <w:rPr>
          <w:rFonts w:ascii="Palatino Linotype" w:hAnsi="Palatino Linotype"/>
          <w:lang w:val="es-ES"/>
        </w:rPr>
        <w:t xml:space="preserve">Sapienza, P. Guiso, L. &amp; Zingales, L. (2004). </w:t>
      </w:r>
      <w:r w:rsidRPr="00BE7078">
        <w:rPr>
          <w:rFonts w:ascii="Palatino Linotype" w:hAnsi="Palatino Linotype"/>
          <w:lang w:val="en-GB"/>
        </w:rPr>
        <w:t xml:space="preserve">The role of social capital in financial development. </w:t>
      </w:r>
      <w:r w:rsidRPr="00BE7078">
        <w:rPr>
          <w:rFonts w:ascii="Palatino Linotype" w:hAnsi="Palatino Linotype"/>
          <w:i/>
          <w:lang w:val="es-ES"/>
        </w:rPr>
        <w:t>American Economic Review, 94</w:t>
      </w:r>
      <w:r w:rsidRPr="00BE7078">
        <w:rPr>
          <w:rFonts w:ascii="Palatino Linotype" w:hAnsi="Palatino Linotype"/>
          <w:lang w:val="es-ES"/>
        </w:rPr>
        <w:t xml:space="preserve"> (3), 526-556.</w:t>
      </w:r>
    </w:p>
    <w:p w14:paraId="56496DEB" w14:textId="77777777" w:rsidR="00BD7961" w:rsidRPr="00BE7078" w:rsidRDefault="00BD7961" w:rsidP="00BD7961">
      <w:pPr>
        <w:spacing w:line="240" w:lineRule="auto"/>
        <w:ind w:left="709" w:hanging="709"/>
        <w:jc w:val="both"/>
        <w:rPr>
          <w:rFonts w:ascii="Palatino Linotype" w:hAnsi="Palatino Linotype"/>
          <w:lang w:val="en-GB"/>
        </w:rPr>
      </w:pPr>
      <w:r w:rsidRPr="004829E7">
        <w:rPr>
          <w:rFonts w:ascii="Palatino Linotype" w:hAnsi="Palatino Linotype"/>
          <w:lang w:val="en-US"/>
        </w:rPr>
        <w:t xml:space="preserve">Servaes, H., &amp; Tamayo, A. (2013). </w:t>
      </w:r>
      <w:r w:rsidRPr="00BE7078">
        <w:rPr>
          <w:rFonts w:ascii="Palatino Linotype" w:hAnsi="Palatino Linotype"/>
          <w:lang w:val="en-GB"/>
        </w:rPr>
        <w:t>The Impact of Corporate Social Responsibility on Firm Value: The Role of Customer Awareness.</w:t>
      </w:r>
      <w:r w:rsidRPr="00BE7078">
        <w:rPr>
          <w:rFonts w:ascii="Palatino Linotype" w:hAnsi="Palatino Linotype"/>
          <w:i/>
          <w:lang w:val="en-GB"/>
        </w:rPr>
        <w:t xml:space="preserve"> Management Science. 59 </w:t>
      </w:r>
      <w:r w:rsidRPr="00BE7078">
        <w:rPr>
          <w:rFonts w:ascii="Palatino Linotype" w:hAnsi="Palatino Linotype"/>
          <w:lang w:val="en-GB"/>
        </w:rPr>
        <w:t>( 5). 1045–1061.</w:t>
      </w:r>
    </w:p>
    <w:p w14:paraId="5A0AABDB"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Shocker, A., &amp;Sethi, S.P.(1973). An approach to incorporating societal preferences in developing corporate action strategies. </w:t>
      </w:r>
      <w:r w:rsidRPr="00BE7078">
        <w:rPr>
          <w:rFonts w:ascii="Palatino Linotype" w:hAnsi="Palatino Linotype"/>
          <w:i/>
          <w:lang w:val="en-GB"/>
        </w:rPr>
        <w:t>California Management. Review. 15</w:t>
      </w:r>
      <w:r w:rsidRPr="00BE7078">
        <w:rPr>
          <w:rFonts w:ascii="Palatino Linotype" w:hAnsi="Palatino Linotype"/>
          <w:lang w:val="en-GB"/>
        </w:rPr>
        <w:t xml:space="preserve">, 97–107. </w:t>
      </w:r>
    </w:p>
    <w:p w14:paraId="666FE871"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Social License Task Group, 2009. Earning a Social License to Operate: Lessons from Selected Industry Sectors. Final Report of the Social License Task Group. Submitted to the Energy and Mines Ministers Conference. September, 2009.; </w:t>
      </w:r>
    </w:p>
    <w:p w14:paraId="6E3528DD"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Svensson, Lars E. O., 1999. "Inflation targeting as a monetary policy rule," Journal of Monetary Economics, Elsevier, vol. 43(3), pages 607-654, June.</w:t>
      </w:r>
    </w:p>
    <w:p w14:paraId="086DA31F"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Boutilier, R., Thomson,I., 2011. Modeling and Measuring the Social License to Operate: Fruits of a Dialog Between Theory and Practice. International Mine Management, Queensland, Australia.</w:t>
      </w:r>
    </w:p>
    <w:p w14:paraId="711780E6" w14:textId="77777777" w:rsidR="00BD7961" w:rsidRPr="00BE7078" w:rsidRDefault="00BD7961" w:rsidP="00BD7961">
      <w:pPr>
        <w:spacing w:line="240" w:lineRule="auto"/>
        <w:ind w:left="709" w:hanging="709"/>
        <w:jc w:val="both"/>
        <w:rPr>
          <w:rFonts w:ascii="Palatino Linotype" w:hAnsi="Palatino Linotype"/>
          <w:lang w:val="es-ES"/>
        </w:rPr>
      </w:pPr>
      <w:r w:rsidRPr="00BE7078">
        <w:rPr>
          <w:rFonts w:ascii="Palatino Linotype" w:hAnsi="Palatino Linotype"/>
          <w:lang w:val="en-GB"/>
        </w:rPr>
        <w:t xml:space="preserve">Vahabi M. (2010). Integrating Social Conflict into Economic Theory. </w:t>
      </w:r>
      <w:r w:rsidRPr="00BE7078">
        <w:rPr>
          <w:rFonts w:ascii="Palatino Linotype" w:hAnsi="Palatino Linotype"/>
          <w:i/>
          <w:lang w:val="es-ES"/>
        </w:rPr>
        <w:t>Cambridge Journal of Economics, 34</w:t>
      </w:r>
      <w:r w:rsidRPr="00BE7078">
        <w:rPr>
          <w:rStyle w:val="slug-issue"/>
          <w:rFonts w:ascii="Palatino Linotype" w:hAnsi="Palatino Linotype"/>
          <w:bdr w:val="none" w:sz="0" w:space="0" w:color="auto" w:frame="1"/>
          <w:shd w:val="clear" w:color="auto" w:fill="FFFFFF"/>
          <w:lang w:val="es-ES"/>
        </w:rPr>
        <w:t xml:space="preserve">(4), </w:t>
      </w:r>
      <w:r w:rsidRPr="00BE7078">
        <w:rPr>
          <w:rStyle w:val="slug-pages"/>
          <w:rFonts w:ascii="Palatino Linotype" w:hAnsi="Palatino Linotype"/>
          <w:bdr w:val="none" w:sz="0" w:space="0" w:color="auto" w:frame="1"/>
          <w:shd w:val="clear" w:color="auto" w:fill="FFFFFF"/>
          <w:lang w:val="es-ES"/>
        </w:rPr>
        <w:t>687-708.</w:t>
      </w:r>
    </w:p>
    <w:p w14:paraId="2DB8F0F1" w14:textId="77777777" w:rsidR="00BD7961" w:rsidRPr="00BE7078" w:rsidRDefault="00BD7961" w:rsidP="00BD7961">
      <w:pPr>
        <w:spacing w:line="240" w:lineRule="auto"/>
        <w:ind w:left="709" w:hanging="709"/>
        <w:jc w:val="both"/>
        <w:rPr>
          <w:rFonts w:ascii="Palatino Linotype" w:hAnsi="Palatino Linotype"/>
          <w:lang w:val="es-ES"/>
        </w:rPr>
      </w:pPr>
      <w:r w:rsidRPr="00BE7078">
        <w:rPr>
          <w:rFonts w:ascii="Palatino Linotype" w:hAnsi="Palatino Linotype"/>
          <w:lang w:val="es-ES"/>
        </w:rPr>
        <w:lastRenderedPageBreak/>
        <w:t>Vargas, G. (2013). Industria minera y comunidades en Colombia: problemas y recomendaciones. Disponible en: http://www1.upme.gov.co/sites/default/files/</w:t>
      </w:r>
      <w:r w:rsidRPr="00BE7078">
        <w:rPr>
          <w:rFonts w:ascii="Palatino Linotype" w:hAnsi="Palatino Linotype"/>
          <w:lang w:val="es-ES"/>
        </w:rPr>
        <w:br/>
        <w:t>forum_topic/3655/files/industria_minera_comunidades_colombia_problemas_recomendaciones.pdf</w:t>
      </w:r>
    </w:p>
    <w:p w14:paraId="2B000AEB" w14:textId="77777777" w:rsidR="00BD7961" w:rsidRPr="00335CB6" w:rsidRDefault="00BD7961" w:rsidP="00BD7961">
      <w:pPr>
        <w:spacing w:line="240" w:lineRule="auto"/>
        <w:ind w:left="709" w:hanging="709"/>
        <w:jc w:val="both"/>
        <w:rPr>
          <w:rFonts w:ascii="Palatino Linotype" w:hAnsi="Palatino Linotype"/>
          <w:lang w:val="en-US"/>
        </w:rPr>
      </w:pPr>
      <w:r w:rsidRPr="00335CB6">
        <w:rPr>
          <w:rFonts w:ascii="Palatino Linotype" w:hAnsi="Palatino Linotype"/>
          <w:lang w:val="en-US"/>
        </w:rPr>
        <w:t>Webler, T.&amp; Renn, O., "A brief primer on participation: philosophy and practice", Renn, O.&amp; Webler, T.&amp; Wiedemann, P. (Eds.), Fairness and Competence in Citizen Participation: Evaluating Models for Environmental Discourse, 1995, p.17-33 Wen, Z. (2011). An Empirical Study of The Linkage Between Resources Development And Economic Development-Taken Shanxi Province as example. Energy Procedia. 5, 1394–1398.</w:t>
      </w:r>
    </w:p>
    <w:p w14:paraId="3BAFAA25"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Michael Woolcock; Deepa Narayan (2000). Social capital: Implications for development theory, research, and policy. The World Bank Research Observer; 15, 2; ABI/INFORM Global pg. 225</w:t>
      </w:r>
    </w:p>
    <w:p w14:paraId="5D1F1FF0" w14:textId="77777777" w:rsidR="00BD7961"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 xml:space="preserve">World Bank (2003). </w:t>
      </w:r>
      <w:r w:rsidRPr="00BE7078">
        <w:rPr>
          <w:rFonts w:ascii="Palatino Linotype" w:hAnsi="Palatino Linotype"/>
          <w:i/>
          <w:lang w:val="en-GB"/>
        </w:rPr>
        <w:t>Striking a Better Balance</w:t>
      </w:r>
      <w:r w:rsidRPr="00BE7078">
        <w:rPr>
          <w:rFonts w:ascii="Palatino Linotype" w:hAnsi="Palatino Linotype"/>
          <w:lang w:val="en-GB"/>
        </w:rPr>
        <w:t>: The World Bank and Extractive Industries.</w:t>
      </w:r>
    </w:p>
    <w:p w14:paraId="0E191381" w14:textId="77777777" w:rsidR="00BD7961" w:rsidRPr="00BE7078" w:rsidRDefault="00BD7961" w:rsidP="00BD7961">
      <w:pPr>
        <w:spacing w:line="240" w:lineRule="auto"/>
        <w:ind w:left="709" w:hanging="709"/>
        <w:jc w:val="both"/>
        <w:rPr>
          <w:rFonts w:ascii="Palatino Linotype" w:hAnsi="Palatino Linotype"/>
          <w:lang w:val="en-GB"/>
        </w:rPr>
      </w:pPr>
      <w:r w:rsidRPr="00BE7078">
        <w:rPr>
          <w:rFonts w:ascii="Palatino Linotype" w:hAnsi="Palatino Linotype"/>
          <w:lang w:val="en-GB"/>
        </w:rPr>
        <w:t>Yates y Horvath, 2013. Social License to Operate: How to Get It, and How to Keep It, 2013 Summit Working Paper, Pacific Energy Summit 2013</w:t>
      </w:r>
      <w:r w:rsidRPr="00BE7078">
        <w:rPr>
          <w:rFonts w:ascii="Palatino Linotype" w:hAnsi="Palatino Linotype"/>
          <w:lang w:val="en-GB"/>
        </w:rPr>
        <w:tab/>
      </w:r>
    </w:p>
    <w:p w14:paraId="730E031E" w14:textId="77777777" w:rsidR="00BD7961" w:rsidRPr="003259D6" w:rsidRDefault="00BD7961" w:rsidP="00BD7961">
      <w:pPr>
        <w:spacing w:after="0"/>
        <w:jc w:val="both"/>
        <w:rPr>
          <w:rFonts w:ascii="Palatino Linotype" w:hAnsi="Palatino Linotype"/>
          <w:b/>
          <w:color w:val="FF0000"/>
          <w:lang w:val="en-GB"/>
        </w:rPr>
      </w:pPr>
    </w:p>
    <w:p w14:paraId="1E5E5A50" w14:textId="77777777" w:rsidR="005663E5" w:rsidRPr="005663E5" w:rsidRDefault="005663E5" w:rsidP="00403A8F">
      <w:pPr>
        <w:spacing w:after="0"/>
        <w:ind w:left="709" w:hanging="709"/>
        <w:rPr>
          <w:rFonts w:ascii="Palatino Linotype" w:hAnsi="Palatino Linotype"/>
          <w:lang w:val="en-GB"/>
        </w:rPr>
      </w:pPr>
    </w:p>
    <w:sectPr w:rsidR="005663E5" w:rsidRPr="005663E5" w:rsidSect="00B07314">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C7001" w14:textId="77777777" w:rsidR="00FA44D6" w:rsidRDefault="00FA44D6" w:rsidP="001E2F52">
      <w:pPr>
        <w:spacing w:after="0" w:line="240" w:lineRule="auto"/>
      </w:pPr>
      <w:r>
        <w:separator/>
      </w:r>
    </w:p>
  </w:endnote>
  <w:endnote w:type="continuationSeparator" w:id="0">
    <w:p w14:paraId="327BBC45" w14:textId="77777777" w:rsidR="00FA44D6" w:rsidRDefault="00FA44D6" w:rsidP="001E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204101"/>
      <w:docPartObj>
        <w:docPartGallery w:val="Page Numbers (Bottom of Page)"/>
        <w:docPartUnique/>
      </w:docPartObj>
    </w:sdtPr>
    <w:sdtEndPr/>
    <w:sdtContent>
      <w:p w14:paraId="24CC1233" w14:textId="77777777" w:rsidR="001C045B" w:rsidRDefault="001C045B">
        <w:pPr>
          <w:pStyle w:val="Piedepgina"/>
          <w:jc w:val="right"/>
        </w:pPr>
        <w:r w:rsidRPr="001E2F52">
          <w:rPr>
            <w:rFonts w:ascii="Palatino Linotype" w:hAnsi="Palatino Linotype"/>
            <w:sz w:val="20"/>
            <w:szCs w:val="20"/>
          </w:rPr>
          <w:fldChar w:fldCharType="begin"/>
        </w:r>
        <w:r w:rsidRPr="001E2F52">
          <w:rPr>
            <w:rFonts w:ascii="Palatino Linotype" w:hAnsi="Palatino Linotype"/>
            <w:sz w:val="20"/>
            <w:szCs w:val="20"/>
          </w:rPr>
          <w:instrText xml:space="preserve"> PAGE   \* MERGEFORMAT </w:instrText>
        </w:r>
        <w:r w:rsidRPr="001E2F52">
          <w:rPr>
            <w:rFonts w:ascii="Palatino Linotype" w:hAnsi="Palatino Linotype"/>
            <w:sz w:val="20"/>
            <w:szCs w:val="20"/>
          </w:rPr>
          <w:fldChar w:fldCharType="separate"/>
        </w:r>
        <w:r w:rsidR="00335CB6">
          <w:rPr>
            <w:rFonts w:ascii="Palatino Linotype" w:hAnsi="Palatino Linotype"/>
            <w:noProof/>
            <w:sz w:val="20"/>
            <w:szCs w:val="20"/>
          </w:rPr>
          <w:t>1</w:t>
        </w:r>
        <w:r w:rsidRPr="001E2F52">
          <w:rPr>
            <w:rFonts w:ascii="Palatino Linotype" w:hAnsi="Palatino Linotype"/>
            <w:sz w:val="20"/>
            <w:szCs w:val="20"/>
          </w:rPr>
          <w:fldChar w:fldCharType="end"/>
        </w:r>
      </w:p>
    </w:sdtContent>
  </w:sdt>
  <w:p w14:paraId="43E2F110" w14:textId="77777777" w:rsidR="001C045B" w:rsidRDefault="001C04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876D4" w14:textId="77777777" w:rsidR="00FA44D6" w:rsidRDefault="00FA44D6" w:rsidP="001E2F52">
      <w:pPr>
        <w:spacing w:after="0" w:line="240" w:lineRule="auto"/>
      </w:pPr>
      <w:r>
        <w:separator/>
      </w:r>
    </w:p>
  </w:footnote>
  <w:footnote w:type="continuationSeparator" w:id="0">
    <w:p w14:paraId="0A3D0D62" w14:textId="77777777" w:rsidR="00FA44D6" w:rsidRDefault="00FA44D6" w:rsidP="001E2F52">
      <w:pPr>
        <w:spacing w:after="0" w:line="240" w:lineRule="auto"/>
      </w:pPr>
      <w:r>
        <w:continuationSeparator/>
      </w:r>
    </w:p>
  </w:footnote>
  <w:footnote w:id="1">
    <w:p w14:paraId="304C3E90" w14:textId="77777777" w:rsidR="001C045B" w:rsidRPr="00EE400E" w:rsidRDefault="001C045B" w:rsidP="00895F12">
      <w:pPr>
        <w:pStyle w:val="Textonotapie"/>
        <w:jc w:val="both"/>
        <w:rPr>
          <w:rFonts w:ascii="Palatino Linotype" w:hAnsi="Palatino Linotype"/>
        </w:rPr>
      </w:pPr>
      <w:r w:rsidRPr="00EE400E">
        <w:rPr>
          <w:rStyle w:val="Refdenotaalpie"/>
          <w:rFonts w:ascii="Palatino Linotype" w:hAnsi="Palatino Linotype"/>
        </w:rPr>
        <w:footnoteRef/>
      </w:r>
      <w:r w:rsidRPr="00EE400E">
        <w:rPr>
          <w:rFonts w:ascii="Palatino Linotype" w:hAnsi="Palatino Linotype"/>
        </w:rPr>
        <w:t xml:space="preserve"> Esto se refiere a aquellos actores sociales que participan en la formación y acumulación del capital social.</w:t>
      </w:r>
    </w:p>
  </w:footnote>
  <w:footnote w:id="2">
    <w:p w14:paraId="4C0BEACF" w14:textId="77777777" w:rsidR="001C045B" w:rsidRDefault="001C045B" w:rsidP="0040437B">
      <w:pPr>
        <w:pStyle w:val="Textonotapie"/>
        <w:jc w:val="both"/>
      </w:pPr>
      <w:r>
        <w:rPr>
          <w:rStyle w:val="Refdenotaalpie"/>
        </w:rPr>
        <w:footnoteRef/>
      </w:r>
      <w:r>
        <w:t xml:space="preserve"> </w:t>
      </w:r>
      <w:r>
        <w:rPr>
          <w:rFonts w:ascii="Palatino Linotype" w:hAnsi="Palatino Linotype"/>
        </w:rPr>
        <w:t xml:space="preserve">A diferencia de estos autores, </w:t>
      </w:r>
      <w:r w:rsidRPr="00EE4499">
        <w:rPr>
          <w:rFonts w:ascii="Palatino Linotype" w:hAnsi="Palatino Linotype"/>
        </w:rPr>
        <w:t>Abdullah y Haywo</w:t>
      </w:r>
      <w:r>
        <w:rPr>
          <w:rFonts w:ascii="Palatino Linotype" w:hAnsi="Palatino Linotype"/>
        </w:rPr>
        <w:t>rth (1993) y Dhakal et. al. (1993) sugieren que existen efectos no lineales sobre el rendimiento. No obstante, lo anterior escapa del enfoque de esta investigación.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755D6"/>
    <w:multiLevelType w:val="multilevel"/>
    <w:tmpl w:val="A872D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305685"/>
    <w:multiLevelType w:val="hybridMultilevel"/>
    <w:tmpl w:val="251628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1393976"/>
    <w:multiLevelType w:val="multilevel"/>
    <w:tmpl w:val="A872D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985068D"/>
    <w:multiLevelType w:val="hybridMultilevel"/>
    <w:tmpl w:val="6F9ACD30"/>
    <w:lvl w:ilvl="0" w:tplc="2D50B38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5F626CD9"/>
    <w:multiLevelType w:val="multilevel"/>
    <w:tmpl w:val="1C02B8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43F5F48"/>
    <w:multiLevelType w:val="hybridMultilevel"/>
    <w:tmpl w:val="A9F8248A"/>
    <w:lvl w:ilvl="0" w:tplc="4B8CC882">
      <w:start w:val="1"/>
      <w:numFmt w:val="decimal"/>
      <w:lvlText w:val="%1."/>
      <w:lvlJc w:val="left"/>
      <w:pPr>
        <w:ind w:left="644" w:hanging="360"/>
      </w:pPr>
      <w:rPr>
        <w:rFonts w:hint="default"/>
        <w:sz w:val="22"/>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nsid w:val="76DC3A23"/>
    <w:multiLevelType w:val="multilevel"/>
    <w:tmpl w:val="280A0027"/>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6"/>
  </w:num>
  <w:num w:numId="8">
    <w:abstractNumId w:val="6"/>
  </w:num>
  <w:num w:numId="9">
    <w:abstractNumId w:val="6"/>
  </w:num>
  <w:num w:numId="10">
    <w:abstractNumId w:val="4"/>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0F"/>
    <w:rsid w:val="000020B1"/>
    <w:rsid w:val="00002783"/>
    <w:rsid w:val="000104D4"/>
    <w:rsid w:val="00034950"/>
    <w:rsid w:val="00034B9A"/>
    <w:rsid w:val="00063D95"/>
    <w:rsid w:val="00065B89"/>
    <w:rsid w:val="000723BB"/>
    <w:rsid w:val="0008012F"/>
    <w:rsid w:val="000803D1"/>
    <w:rsid w:val="00081635"/>
    <w:rsid w:val="000911DC"/>
    <w:rsid w:val="000A3750"/>
    <w:rsid w:val="000A4BF9"/>
    <w:rsid w:val="000B2809"/>
    <w:rsid w:val="000D0388"/>
    <w:rsid w:val="000F6441"/>
    <w:rsid w:val="00103F51"/>
    <w:rsid w:val="001068CE"/>
    <w:rsid w:val="00110244"/>
    <w:rsid w:val="001121E4"/>
    <w:rsid w:val="00114219"/>
    <w:rsid w:val="00115C84"/>
    <w:rsid w:val="00116946"/>
    <w:rsid w:val="0012388A"/>
    <w:rsid w:val="00127996"/>
    <w:rsid w:val="00127D63"/>
    <w:rsid w:val="00130783"/>
    <w:rsid w:val="001335B3"/>
    <w:rsid w:val="00145800"/>
    <w:rsid w:val="00145983"/>
    <w:rsid w:val="00146FD5"/>
    <w:rsid w:val="00164A85"/>
    <w:rsid w:val="001779B6"/>
    <w:rsid w:val="001945B4"/>
    <w:rsid w:val="001A17ED"/>
    <w:rsid w:val="001B14FE"/>
    <w:rsid w:val="001B3319"/>
    <w:rsid w:val="001B3866"/>
    <w:rsid w:val="001B4ADF"/>
    <w:rsid w:val="001B75CC"/>
    <w:rsid w:val="001B79F6"/>
    <w:rsid w:val="001C045B"/>
    <w:rsid w:val="001C0CF5"/>
    <w:rsid w:val="001C12AB"/>
    <w:rsid w:val="001C3ACE"/>
    <w:rsid w:val="001C7BDC"/>
    <w:rsid w:val="001D4DCC"/>
    <w:rsid w:val="001E2F52"/>
    <w:rsid w:val="001E4CAB"/>
    <w:rsid w:val="001E6C7F"/>
    <w:rsid w:val="001E79F2"/>
    <w:rsid w:val="001F1622"/>
    <w:rsid w:val="001F2FE7"/>
    <w:rsid w:val="00200AD7"/>
    <w:rsid w:val="00204F83"/>
    <w:rsid w:val="002107D9"/>
    <w:rsid w:val="00213596"/>
    <w:rsid w:val="00220500"/>
    <w:rsid w:val="00223E40"/>
    <w:rsid w:val="002279EB"/>
    <w:rsid w:val="00241532"/>
    <w:rsid w:val="00246821"/>
    <w:rsid w:val="00250222"/>
    <w:rsid w:val="0025094A"/>
    <w:rsid w:val="00257102"/>
    <w:rsid w:val="00272904"/>
    <w:rsid w:val="00283825"/>
    <w:rsid w:val="00294766"/>
    <w:rsid w:val="00297D1B"/>
    <w:rsid w:val="002A09EA"/>
    <w:rsid w:val="002A5032"/>
    <w:rsid w:val="002A7FE4"/>
    <w:rsid w:val="002B57C8"/>
    <w:rsid w:val="002C0927"/>
    <w:rsid w:val="002C2C39"/>
    <w:rsid w:val="002D27CA"/>
    <w:rsid w:val="002D438C"/>
    <w:rsid w:val="002E1966"/>
    <w:rsid w:val="002E2251"/>
    <w:rsid w:val="002E242D"/>
    <w:rsid w:val="002E3FB3"/>
    <w:rsid w:val="002F367F"/>
    <w:rsid w:val="002F4A1E"/>
    <w:rsid w:val="003058CD"/>
    <w:rsid w:val="00305A26"/>
    <w:rsid w:val="0031742F"/>
    <w:rsid w:val="00330B6E"/>
    <w:rsid w:val="00332CF0"/>
    <w:rsid w:val="00335CB6"/>
    <w:rsid w:val="00341C25"/>
    <w:rsid w:val="00352B05"/>
    <w:rsid w:val="00353182"/>
    <w:rsid w:val="003554C1"/>
    <w:rsid w:val="003555EA"/>
    <w:rsid w:val="003577FD"/>
    <w:rsid w:val="00377ED5"/>
    <w:rsid w:val="0038595D"/>
    <w:rsid w:val="003A7396"/>
    <w:rsid w:val="003B3BA9"/>
    <w:rsid w:val="003C49FF"/>
    <w:rsid w:val="003C51EF"/>
    <w:rsid w:val="003E7F7B"/>
    <w:rsid w:val="003F10C5"/>
    <w:rsid w:val="003F3575"/>
    <w:rsid w:val="003F397C"/>
    <w:rsid w:val="003F4EAF"/>
    <w:rsid w:val="00400CD8"/>
    <w:rsid w:val="00403A8F"/>
    <w:rsid w:val="0040437B"/>
    <w:rsid w:val="00404E34"/>
    <w:rsid w:val="0041104B"/>
    <w:rsid w:val="0041613B"/>
    <w:rsid w:val="004220F7"/>
    <w:rsid w:val="0042217F"/>
    <w:rsid w:val="00427862"/>
    <w:rsid w:val="00427E3A"/>
    <w:rsid w:val="0043462D"/>
    <w:rsid w:val="00450B06"/>
    <w:rsid w:val="00452F4B"/>
    <w:rsid w:val="00453CBC"/>
    <w:rsid w:val="004559A5"/>
    <w:rsid w:val="00455BFC"/>
    <w:rsid w:val="004633AA"/>
    <w:rsid w:val="00465B03"/>
    <w:rsid w:val="004754DD"/>
    <w:rsid w:val="004829E7"/>
    <w:rsid w:val="00486AB1"/>
    <w:rsid w:val="004A5FAA"/>
    <w:rsid w:val="004C0499"/>
    <w:rsid w:val="004E275A"/>
    <w:rsid w:val="004E30AD"/>
    <w:rsid w:val="004E74B4"/>
    <w:rsid w:val="004F403F"/>
    <w:rsid w:val="004F7B23"/>
    <w:rsid w:val="0051336F"/>
    <w:rsid w:val="00526059"/>
    <w:rsid w:val="00526836"/>
    <w:rsid w:val="00542DAE"/>
    <w:rsid w:val="00542F9B"/>
    <w:rsid w:val="005462F8"/>
    <w:rsid w:val="00550D9B"/>
    <w:rsid w:val="00555060"/>
    <w:rsid w:val="005575C0"/>
    <w:rsid w:val="00561092"/>
    <w:rsid w:val="0056181E"/>
    <w:rsid w:val="005663E5"/>
    <w:rsid w:val="00573C4D"/>
    <w:rsid w:val="005865B1"/>
    <w:rsid w:val="0058740E"/>
    <w:rsid w:val="0059029D"/>
    <w:rsid w:val="00591646"/>
    <w:rsid w:val="00594969"/>
    <w:rsid w:val="00595DDE"/>
    <w:rsid w:val="005A0CDC"/>
    <w:rsid w:val="005A35E6"/>
    <w:rsid w:val="005B2FEC"/>
    <w:rsid w:val="005C207E"/>
    <w:rsid w:val="005C5133"/>
    <w:rsid w:val="005F13DD"/>
    <w:rsid w:val="005F2F3D"/>
    <w:rsid w:val="006068F0"/>
    <w:rsid w:val="00607170"/>
    <w:rsid w:val="00615866"/>
    <w:rsid w:val="006170E6"/>
    <w:rsid w:val="006238EA"/>
    <w:rsid w:val="00623E36"/>
    <w:rsid w:val="006259D0"/>
    <w:rsid w:val="00627C33"/>
    <w:rsid w:val="006333F7"/>
    <w:rsid w:val="00634184"/>
    <w:rsid w:val="00641F53"/>
    <w:rsid w:val="00652083"/>
    <w:rsid w:val="00654B1D"/>
    <w:rsid w:val="00665D62"/>
    <w:rsid w:val="00666920"/>
    <w:rsid w:val="0066710E"/>
    <w:rsid w:val="00680587"/>
    <w:rsid w:val="006914A5"/>
    <w:rsid w:val="00691E4E"/>
    <w:rsid w:val="00693E4A"/>
    <w:rsid w:val="0069488A"/>
    <w:rsid w:val="006A5723"/>
    <w:rsid w:val="006B1171"/>
    <w:rsid w:val="006B18B1"/>
    <w:rsid w:val="006B31DB"/>
    <w:rsid w:val="006B3D4E"/>
    <w:rsid w:val="006D0BA7"/>
    <w:rsid w:val="006D7A88"/>
    <w:rsid w:val="006E1DDF"/>
    <w:rsid w:val="006F5BE5"/>
    <w:rsid w:val="006F7884"/>
    <w:rsid w:val="0070333C"/>
    <w:rsid w:val="00704D5E"/>
    <w:rsid w:val="007153E7"/>
    <w:rsid w:val="00734BFB"/>
    <w:rsid w:val="00735C66"/>
    <w:rsid w:val="007373C4"/>
    <w:rsid w:val="00744635"/>
    <w:rsid w:val="00745B20"/>
    <w:rsid w:val="007571CA"/>
    <w:rsid w:val="00771C64"/>
    <w:rsid w:val="00772B1E"/>
    <w:rsid w:val="007833A1"/>
    <w:rsid w:val="00793B0A"/>
    <w:rsid w:val="007A4D76"/>
    <w:rsid w:val="007B4114"/>
    <w:rsid w:val="007B61F0"/>
    <w:rsid w:val="007B6A13"/>
    <w:rsid w:val="007B6F55"/>
    <w:rsid w:val="007C24A8"/>
    <w:rsid w:val="007C4A5C"/>
    <w:rsid w:val="007C7D2B"/>
    <w:rsid w:val="007D10D0"/>
    <w:rsid w:val="007E134B"/>
    <w:rsid w:val="007F2689"/>
    <w:rsid w:val="007F447D"/>
    <w:rsid w:val="00803919"/>
    <w:rsid w:val="00821DF5"/>
    <w:rsid w:val="00825255"/>
    <w:rsid w:val="00845454"/>
    <w:rsid w:val="00852BBE"/>
    <w:rsid w:val="0085500C"/>
    <w:rsid w:val="008615ED"/>
    <w:rsid w:val="00862261"/>
    <w:rsid w:val="00862815"/>
    <w:rsid w:val="00867AF2"/>
    <w:rsid w:val="00870E0F"/>
    <w:rsid w:val="00871909"/>
    <w:rsid w:val="0087466E"/>
    <w:rsid w:val="00884EC0"/>
    <w:rsid w:val="008856CF"/>
    <w:rsid w:val="00895F12"/>
    <w:rsid w:val="008A5321"/>
    <w:rsid w:val="008B3533"/>
    <w:rsid w:val="008B5DEE"/>
    <w:rsid w:val="008C08EF"/>
    <w:rsid w:val="008C1512"/>
    <w:rsid w:val="008C1DD8"/>
    <w:rsid w:val="008C31D5"/>
    <w:rsid w:val="008C6717"/>
    <w:rsid w:val="008E26B4"/>
    <w:rsid w:val="008E5C33"/>
    <w:rsid w:val="008E6EED"/>
    <w:rsid w:val="008E7F80"/>
    <w:rsid w:val="008F2415"/>
    <w:rsid w:val="00900E45"/>
    <w:rsid w:val="00902311"/>
    <w:rsid w:val="00910FF8"/>
    <w:rsid w:val="00911B19"/>
    <w:rsid w:val="00926ED4"/>
    <w:rsid w:val="00950384"/>
    <w:rsid w:val="009701CE"/>
    <w:rsid w:val="009729DC"/>
    <w:rsid w:val="00973D62"/>
    <w:rsid w:val="00976B6B"/>
    <w:rsid w:val="00982DA7"/>
    <w:rsid w:val="00982E76"/>
    <w:rsid w:val="009901E5"/>
    <w:rsid w:val="00992D9D"/>
    <w:rsid w:val="009B72A0"/>
    <w:rsid w:val="009B7B38"/>
    <w:rsid w:val="009C3084"/>
    <w:rsid w:val="009C7088"/>
    <w:rsid w:val="009D4E09"/>
    <w:rsid w:val="009D4F9D"/>
    <w:rsid w:val="009F2715"/>
    <w:rsid w:val="00A0270B"/>
    <w:rsid w:val="00A066FB"/>
    <w:rsid w:val="00A212D0"/>
    <w:rsid w:val="00A333F1"/>
    <w:rsid w:val="00A366AB"/>
    <w:rsid w:val="00A422CE"/>
    <w:rsid w:val="00A55379"/>
    <w:rsid w:val="00A668C0"/>
    <w:rsid w:val="00A73CF2"/>
    <w:rsid w:val="00A8463A"/>
    <w:rsid w:val="00A8513B"/>
    <w:rsid w:val="00A85549"/>
    <w:rsid w:val="00A857C0"/>
    <w:rsid w:val="00AC02BE"/>
    <w:rsid w:val="00AC458A"/>
    <w:rsid w:val="00AD2713"/>
    <w:rsid w:val="00AE04D9"/>
    <w:rsid w:val="00AE21BD"/>
    <w:rsid w:val="00AE40F3"/>
    <w:rsid w:val="00AE60DD"/>
    <w:rsid w:val="00AE7905"/>
    <w:rsid w:val="00AF0F6A"/>
    <w:rsid w:val="00AF16C8"/>
    <w:rsid w:val="00AF2501"/>
    <w:rsid w:val="00B004D9"/>
    <w:rsid w:val="00B02B80"/>
    <w:rsid w:val="00B04FA9"/>
    <w:rsid w:val="00B07138"/>
    <w:rsid w:val="00B07314"/>
    <w:rsid w:val="00B16C0E"/>
    <w:rsid w:val="00B2407B"/>
    <w:rsid w:val="00B4037C"/>
    <w:rsid w:val="00B404BE"/>
    <w:rsid w:val="00B512A9"/>
    <w:rsid w:val="00B52F55"/>
    <w:rsid w:val="00B632F9"/>
    <w:rsid w:val="00B64BB8"/>
    <w:rsid w:val="00B6758E"/>
    <w:rsid w:val="00B93ADF"/>
    <w:rsid w:val="00B962CB"/>
    <w:rsid w:val="00BA2F28"/>
    <w:rsid w:val="00BA3F17"/>
    <w:rsid w:val="00BB5F7D"/>
    <w:rsid w:val="00BC09D7"/>
    <w:rsid w:val="00BC7B7C"/>
    <w:rsid w:val="00BC7C51"/>
    <w:rsid w:val="00BD7961"/>
    <w:rsid w:val="00BE01E5"/>
    <w:rsid w:val="00C06084"/>
    <w:rsid w:val="00C0626B"/>
    <w:rsid w:val="00C13C4F"/>
    <w:rsid w:val="00C22341"/>
    <w:rsid w:val="00C228A9"/>
    <w:rsid w:val="00C32260"/>
    <w:rsid w:val="00C34198"/>
    <w:rsid w:val="00C34D72"/>
    <w:rsid w:val="00C44929"/>
    <w:rsid w:val="00C44D2D"/>
    <w:rsid w:val="00C4520E"/>
    <w:rsid w:val="00C50184"/>
    <w:rsid w:val="00C5421E"/>
    <w:rsid w:val="00C55E08"/>
    <w:rsid w:val="00C76ED6"/>
    <w:rsid w:val="00C773BB"/>
    <w:rsid w:val="00C9245D"/>
    <w:rsid w:val="00CA4A06"/>
    <w:rsid w:val="00CA74CC"/>
    <w:rsid w:val="00CB6E8B"/>
    <w:rsid w:val="00CC44B0"/>
    <w:rsid w:val="00CD2035"/>
    <w:rsid w:val="00CD38B5"/>
    <w:rsid w:val="00CD595D"/>
    <w:rsid w:val="00CE02C1"/>
    <w:rsid w:val="00CE1FE3"/>
    <w:rsid w:val="00CE453C"/>
    <w:rsid w:val="00CF1D51"/>
    <w:rsid w:val="00D00281"/>
    <w:rsid w:val="00D03E8B"/>
    <w:rsid w:val="00D13CE3"/>
    <w:rsid w:val="00D13F83"/>
    <w:rsid w:val="00D213B7"/>
    <w:rsid w:val="00D314D4"/>
    <w:rsid w:val="00D3478F"/>
    <w:rsid w:val="00D3602D"/>
    <w:rsid w:val="00D45CA5"/>
    <w:rsid w:val="00D47C90"/>
    <w:rsid w:val="00D62D4B"/>
    <w:rsid w:val="00D651DA"/>
    <w:rsid w:val="00D65AA2"/>
    <w:rsid w:val="00D676BC"/>
    <w:rsid w:val="00D73CBB"/>
    <w:rsid w:val="00D75B43"/>
    <w:rsid w:val="00D8611F"/>
    <w:rsid w:val="00DA75C5"/>
    <w:rsid w:val="00DB0116"/>
    <w:rsid w:val="00DB39DF"/>
    <w:rsid w:val="00DC1E96"/>
    <w:rsid w:val="00DC2548"/>
    <w:rsid w:val="00DC5BBF"/>
    <w:rsid w:val="00DC6FA4"/>
    <w:rsid w:val="00DC7528"/>
    <w:rsid w:val="00DD3469"/>
    <w:rsid w:val="00DE600E"/>
    <w:rsid w:val="00DF15F3"/>
    <w:rsid w:val="00DF1C58"/>
    <w:rsid w:val="00DF4AE1"/>
    <w:rsid w:val="00DF6E6B"/>
    <w:rsid w:val="00E0380E"/>
    <w:rsid w:val="00E1351F"/>
    <w:rsid w:val="00E330C7"/>
    <w:rsid w:val="00E37378"/>
    <w:rsid w:val="00E4259E"/>
    <w:rsid w:val="00E63F0C"/>
    <w:rsid w:val="00E8009B"/>
    <w:rsid w:val="00EA6545"/>
    <w:rsid w:val="00EA6590"/>
    <w:rsid w:val="00EB2386"/>
    <w:rsid w:val="00EB23A7"/>
    <w:rsid w:val="00EB53A0"/>
    <w:rsid w:val="00EC1CBA"/>
    <w:rsid w:val="00EC7068"/>
    <w:rsid w:val="00ED1E0D"/>
    <w:rsid w:val="00ED40FB"/>
    <w:rsid w:val="00ED65CA"/>
    <w:rsid w:val="00EE400E"/>
    <w:rsid w:val="00EE4543"/>
    <w:rsid w:val="00EE50B3"/>
    <w:rsid w:val="00EF011F"/>
    <w:rsid w:val="00EF1B0F"/>
    <w:rsid w:val="00F00AD3"/>
    <w:rsid w:val="00F01E8D"/>
    <w:rsid w:val="00F10D61"/>
    <w:rsid w:val="00F171F9"/>
    <w:rsid w:val="00F22A40"/>
    <w:rsid w:val="00F27709"/>
    <w:rsid w:val="00F27FB3"/>
    <w:rsid w:val="00F33769"/>
    <w:rsid w:val="00F35B4D"/>
    <w:rsid w:val="00F35F46"/>
    <w:rsid w:val="00F37BF4"/>
    <w:rsid w:val="00F408F9"/>
    <w:rsid w:val="00F4143D"/>
    <w:rsid w:val="00F472F2"/>
    <w:rsid w:val="00F503DB"/>
    <w:rsid w:val="00F64BBB"/>
    <w:rsid w:val="00F71A53"/>
    <w:rsid w:val="00F77ACD"/>
    <w:rsid w:val="00F82448"/>
    <w:rsid w:val="00F859BC"/>
    <w:rsid w:val="00F867FB"/>
    <w:rsid w:val="00F872E8"/>
    <w:rsid w:val="00F90F88"/>
    <w:rsid w:val="00FA44D6"/>
    <w:rsid w:val="00FA6E12"/>
    <w:rsid w:val="00FB04E8"/>
    <w:rsid w:val="00FB4113"/>
    <w:rsid w:val="00FB7042"/>
    <w:rsid w:val="00FC0147"/>
    <w:rsid w:val="00FC772B"/>
    <w:rsid w:val="00FD1CB3"/>
    <w:rsid w:val="00FD3A6A"/>
    <w:rsid w:val="00FD43F0"/>
    <w:rsid w:val="00FD513A"/>
    <w:rsid w:val="00FD6C74"/>
    <w:rsid w:val="00FE19A1"/>
    <w:rsid w:val="00FE3468"/>
    <w:rsid w:val="00FE737D"/>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5287C"/>
  <w15:docId w15:val="{225252A0-5AC0-4246-9773-46BF755C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F171F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B411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B411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B411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B411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B411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B411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B411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7B411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E0F"/>
    <w:pPr>
      <w:ind w:left="720"/>
      <w:contextualSpacing/>
    </w:pPr>
  </w:style>
  <w:style w:type="paragraph" w:styleId="Encabezado">
    <w:name w:val="header"/>
    <w:basedOn w:val="Normal"/>
    <w:link w:val="EncabezadoCar"/>
    <w:uiPriority w:val="99"/>
    <w:semiHidden/>
    <w:unhideWhenUsed/>
    <w:rsid w:val="001E2F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2F52"/>
  </w:style>
  <w:style w:type="paragraph" w:styleId="Piedepgina">
    <w:name w:val="footer"/>
    <w:basedOn w:val="Normal"/>
    <w:link w:val="PiedepginaCar"/>
    <w:uiPriority w:val="99"/>
    <w:unhideWhenUsed/>
    <w:rsid w:val="001E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F52"/>
  </w:style>
  <w:style w:type="table" w:styleId="Tablaconcuadrcula">
    <w:name w:val="Table Grid"/>
    <w:basedOn w:val="Tablanormal"/>
    <w:uiPriority w:val="59"/>
    <w:rsid w:val="009B7B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9B7B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B38"/>
    <w:rPr>
      <w:rFonts w:ascii="Tahoma" w:hAnsi="Tahoma" w:cs="Tahoma"/>
      <w:sz w:val="16"/>
      <w:szCs w:val="16"/>
    </w:rPr>
  </w:style>
  <w:style w:type="character" w:customStyle="1" w:styleId="Ttulo1Car">
    <w:name w:val="Título 1 Car"/>
    <w:basedOn w:val="Fuentedeprrafopredeter"/>
    <w:link w:val="Ttulo1"/>
    <w:uiPriority w:val="9"/>
    <w:rsid w:val="00F171F9"/>
    <w:rPr>
      <w:rFonts w:asciiTheme="majorHAnsi" w:eastAsiaTheme="majorEastAsia" w:hAnsiTheme="majorHAnsi" w:cstheme="majorBidi"/>
      <w:b/>
      <w:bCs/>
      <w:color w:val="365F91" w:themeColor="accent1" w:themeShade="BF"/>
      <w:sz w:val="28"/>
      <w:szCs w:val="28"/>
      <w:lang w:val="es-ES_tradnl"/>
    </w:rPr>
  </w:style>
  <w:style w:type="table" w:styleId="Sombreadoclaro-nfasis5">
    <w:name w:val="Light Shading Accent 5"/>
    <w:basedOn w:val="Tablanormal"/>
    <w:uiPriority w:val="60"/>
    <w:rsid w:val="00F01E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notapie">
    <w:name w:val="footnote text"/>
    <w:basedOn w:val="Normal"/>
    <w:link w:val="TextonotapieCar"/>
    <w:uiPriority w:val="99"/>
    <w:semiHidden/>
    <w:unhideWhenUsed/>
    <w:rsid w:val="001B3319"/>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1B3319"/>
    <w:rPr>
      <w:rFonts w:eastAsiaTheme="minorHAnsi"/>
      <w:sz w:val="20"/>
      <w:szCs w:val="20"/>
      <w:lang w:eastAsia="en-US"/>
    </w:rPr>
  </w:style>
  <w:style w:type="character" w:styleId="Refdenotaalpie">
    <w:name w:val="footnote reference"/>
    <w:basedOn w:val="Fuentedeprrafopredeter"/>
    <w:uiPriority w:val="99"/>
    <w:semiHidden/>
    <w:unhideWhenUsed/>
    <w:rsid w:val="001B3319"/>
    <w:rPr>
      <w:vertAlign w:val="superscript"/>
    </w:rPr>
  </w:style>
  <w:style w:type="table" w:customStyle="1" w:styleId="Sombreadoclaro-nfasis11">
    <w:name w:val="Sombreado claro - Énfasis 11"/>
    <w:basedOn w:val="Tablanormal"/>
    <w:uiPriority w:val="60"/>
    <w:rsid w:val="001B3319"/>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1">
    <w:name w:val="Light Shading Accent 1"/>
    <w:basedOn w:val="Tablanormal"/>
    <w:uiPriority w:val="60"/>
    <w:rsid w:val="00EE400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E8009B"/>
    <w:rPr>
      <w:sz w:val="16"/>
      <w:szCs w:val="16"/>
    </w:rPr>
  </w:style>
  <w:style w:type="paragraph" w:styleId="Textocomentario">
    <w:name w:val="annotation text"/>
    <w:basedOn w:val="Normal"/>
    <w:link w:val="TextocomentarioCar"/>
    <w:uiPriority w:val="99"/>
    <w:unhideWhenUsed/>
    <w:rsid w:val="00E8009B"/>
    <w:pPr>
      <w:spacing w:line="240" w:lineRule="auto"/>
    </w:pPr>
    <w:rPr>
      <w:sz w:val="20"/>
      <w:szCs w:val="20"/>
    </w:rPr>
  </w:style>
  <w:style w:type="character" w:customStyle="1" w:styleId="TextocomentarioCar">
    <w:name w:val="Texto comentario Car"/>
    <w:basedOn w:val="Fuentedeprrafopredeter"/>
    <w:link w:val="Textocomentario"/>
    <w:uiPriority w:val="99"/>
    <w:rsid w:val="00E8009B"/>
    <w:rPr>
      <w:sz w:val="20"/>
      <w:szCs w:val="20"/>
    </w:rPr>
  </w:style>
  <w:style w:type="paragraph" w:styleId="Asuntodelcomentario">
    <w:name w:val="annotation subject"/>
    <w:basedOn w:val="Textocomentario"/>
    <w:next w:val="Textocomentario"/>
    <w:link w:val="AsuntodelcomentarioCar"/>
    <w:uiPriority w:val="99"/>
    <w:semiHidden/>
    <w:unhideWhenUsed/>
    <w:rsid w:val="00E8009B"/>
    <w:rPr>
      <w:b/>
      <w:bCs/>
    </w:rPr>
  </w:style>
  <w:style w:type="character" w:customStyle="1" w:styleId="AsuntodelcomentarioCar">
    <w:name w:val="Asunto del comentario Car"/>
    <w:basedOn w:val="TextocomentarioCar"/>
    <w:link w:val="Asuntodelcomentario"/>
    <w:uiPriority w:val="99"/>
    <w:semiHidden/>
    <w:rsid w:val="00E8009B"/>
    <w:rPr>
      <w:b/>
      <w:bCs/>
      <w:sz w:val="20"/>
      <w:szCs w:val="20"/>
    </w:rPr>
  </w:style>
  <w:style w:type="character" w:customStyle="1" w:styleId="Ttulo2Car">
    <w:name w:val="Título 2 Car"/>
    <w:basedOn w:val="Fuentedeprrafopredeter"/>
    <w:link w:val="Ttulo2"/>
    <w:uiPriority w:val="9"/>
    <w:rsid w:val="007B4114"/>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semiHidden/>
    <w:rsid w:val="007B411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7B411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B411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7B411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7B411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B411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7B4114"/>
    <w:rPr>
      <w:rFonts w:asciiTheme="majorHAnsi" w:eastAsiaTheme="majorEastAsia" w:hAnsiTheme="majorHAnsi" w:cstheme="majorBidi"/>
      <w:i/>
      <w:iCs/>
      <w:color w:val="404040" w:themeColor="text1" w:themeTint="BF"/>
      <w:sz w:val="20"/>
      <w:szCs w:val="20"/>
    </w:rPr>
  </w:style>
  <w:style w:type="paragraph" w:styleId="Revisin">
    <w:name w:val="Revision"/>
    <w:hidden/>
    <w:uiPriority w:val="99"/>
    <w:semiHidden/>
    <w:rsid w:val="00665D62"/>
    <w:pPr>
      <w:spacing w:after="0" w:line="240" w:lineRule="auto"/>
    </w:pPr>
  </w:style>
  <w:style w:type="character" w:customStyle="1" w:styleId="st">
    <w:name w:val="st"/>
    <w:basedOn w:val="Fuentedeprrafopredeter"/>
    <w:rsid w:val="00453CBC"/>
  </w:style>
  <w:style w:type="character" w:styleId="nfasis">
    <w:name w:val="Emphasis"/>
    <w:basedOn w:val="Fuentedeprrafopredeter"/>
    <w:uiPriority w:val="20"/>
    <w:qFormat/>
    <w:rsid w:val="00453CBC"/>
    <w:rPr>
      <w:i/>
      <w:iCs/>
    </w:rPr>
  </w:style>
  <w:style w:type="character" w:customStyle="1" w:styleId="hps">
    <w:name w:val="hps"/>
    <w:basedOn w:val="Fuentedeprrafopredeter"/>
    <w:rsid w:val="00453CBC"/>
  </w:style>
  <w:style w:type="character" w:styleId="Hipervnculo">
    <w:name w:val="Hyperlink"/>
    <w:basedOn w:val="Fuentedeprrafopredeter"/>
    <w:uiPriority w:val="99"/>
    <w:unhideWhenUsed/>
    <w:rsid w:val="00453CBC"/>
    <w:rPr>
      <w:color w:val="0000FF" w:themeColor="hyperlink"/>
      <w:u w:val="single"/>
    </w:rPr>
  </w:style>
  <w:style w:type="paragraph" w:customStyle="1" w:styleId="Default">
    <w:name w:val="Default"/>
    <w:rsid w:val="00332CF0"/>
    <w:pPr>
      <w:autoSpaceDE w:val="0"/>
      <w:autoSpaceDN w:val="0"/>
      <w:adjustRightInd w:val="0"/>
      <w:spacing w:after="0" w:line="240" w:lineRule="auto"/>
    </w:pPr>
    <w:rPr>
      <w:rFonts w:ascii="Times New Roman" w:eastAsiaTheme="minorHAnsi" w:hAnsi="Times New Roman" w:cs="Times New Roman"/>
      <w:color w:val="000000"/>
      <w:sz w:val="24"/>
      <w:szCs w:val="24"/>
      <w:lang w:val="es-ES" w:eastAsia="en-US"/>
    </w:rPr>
  </w:style>
  <w:style w:type="character" w:styleId="Textoennegrita">
    <w:name w:val="Strong"/>
    <w:basedOn w:val="Fuentedeprrafopredeter"/>
    <w:uiPriority w:val="22"/>
    <w:qFormat/>
    <w:rsid w:val="004220F7"/>
    <w:rPr>
      <w:b/>
      <w:bCs/>
    </w:rPr>
  </w:style>
  <w:style w:type="character" w:customStyle="1" w:styleId="apple-converted-space">
    <w:name w:val="apple-converted-space"/>
    <w:basedOn w:val="Fuentedeprrafopredeter"/>
    <w:rsid w:val="004220F7"/>
  </w:style>
  <w:style w:type="paragraph" w:styleId="NormalWeb">
    <w:name w:val="Normal (Web)"/>
    <w:basedOn w:val="Normal"/>
    <w:uiPriority w:val="99"/>
    <w:unhideWhenUsed/>
    <w:rsid w:val="005462F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erenciaintensa">
    <w:name w:val="Intense Reference"/>
    <w:basedOn w:val="Fuentedeprrafopredeter"/>
    <w:uiPriority w:val="32"/>
    <w:qFormat/>
    <w:rsid w:val="006E1DDF"/>
    <w:rPr>
      <w:b/>
      <w:bCs/>
      <w:smallCaps/>
      <w:color w:val="C0504D" w:themeColor="accent2"/>
      <w:spacing w:val="5"/>
      <w:u w:val="single"/>
    </w:rPr>
  </w:style>
  <w:style w:type="character" w:customStyle="1" w:styleId="slug-issue">
    <w:name w:val="slug-issue"/>
    <w:basedOn w:val="Fuentedeprrafopredeter"/>
    <w:rsid w:val="00034B9A"/>
  </w:style>
  <w:style w:type="character" w:customStyle="1" w:styleId="slug-pages">
    <w:name w:val="slug-pages"/>
    <w:basedOn w:val="Fuentedeprrafopredeter"/>
    <w:rsid w:val="0003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999">
      <w:bodyDiv w:val="1"/>
      <w:marLeft w:val="0"/>
      <w:marRight w:val="0"/>
      <w:marTop w:val="0"/>
      <w:marBottom w:val="0"/>
      <w:divBdr>
        <w:top w:val="none" w:sz="0" w:space="0" w:color="auto"/>
        <w:left w:val="none" w:sz="0" w:space="0" w:color="auto"/>
        <w:bottom w:val="none" w:sz="0" w:space="0" w:color="auto"/>
        <w:right w:val="none" w:sz="0" w:space="0" w:color="auto"/>
      </w:divBdr>
      <w:divsChild>
        <w:div w:id="1844004380">
          <w:marLeft w:val="0"/>
          <w:marRight w:val="0"/>
          <w:marTop w:val="0"/>
          <w:marBottom w:val="0"/>
          <w:divBdr>
            <w:top w:val="none" w:sz="0" w:space="0" w:color="auto"/>
            <w:left w:val="none" w:sz="0" w:space="0" w:color="auto"/>
            <w:bottom w:val="none" w:sz="0" w:space="0" w:color="auto"/>
            <w:right w:val="none" w:sz="0" w:space="0" w:color="auto"/>
          </w:divBdr>
        </w:div>
        <w:div w:id="1273896739">
          <w:marLeft w:val="0"/>
          <w:marRight w:val="0"/>
          <w:marTop w:val="0"/>
          <w:marBottom w:val="0"/>
          <w:divBdr>
            <w:top w:val="none" w:sz="0" w:space="0" w:color="auto"/>
            <w:left w:val="none" w:sz="0" w:space="0" w:color="auto"/>
            <w:bottom w:val="none" w:sz="0" w:space="0" w:color="auto"/>
            <w:right w:val="none" w:sz="0" w:space="0" w:color="auto"/>
          </w:divBdr>
        </w:div>
      </w:divsChild>
    </w:div>
    <w:div w:id="252787792">
      <w:bodyDiv w:val="1"/>
      <w:marLeft w:val="0"/>
      <w:marRight w:val="0"/>
      <w:marTop w:val="0"/>
      <w:marBottom w:val="0"/>
      <w:divBdr>
        <w:top w:val="none" w:sz="0" w:space="0" w:color="auto"/>
        <w:left w:val="none" w:sz="0" w:space="0" w:color="auto"/>
        <w:bottom w:val="none" w:sz="0" w:space="0" w:color="auto"/>
        <w:right w:val="none" w:sz="0" w:space="0" w:color="auto"/>
      </w:divBdr>
      <w:divsChild>
        <w:div w:id="172183084">
          <w:marLeft w:val="547"/>
          <w:marRight w:val="0"/>
          <w:marTop w:val="0"/>
          <w:marBottom w:val="200"/>
          <w:divBdr>
            <w:top w:val="none" w:sz="0" w:space="0" w:color="auto"/>
            <w:left w:val="none" w:sz="0" w:space="0" w:color="auto"/>
            <w:bottom w:val="none" w:sz="0" w:space="0" w:color="auto"/>
            <w:right w:val="none" w:sz="0" w:space="0" w:color="auto"/>
          </w:divBdr>
        </w:div>
      </w:divsChild>
    </w:div>
    <w:div w:id="379861465">
      <w:bodyDiv w:val="1"/>
      <w:marLeft w:val="0"/>
      <w:marRight w:val="0"/>
      <w:marTop w:val="0"/>
      <w:marBottom w:val="0"/>
      <w:divBdr>
        <w:top w:val="none" w:sz="0" w:space="0" w:color="auto"/>
        <w:left w:val="none" w:sz="0" w:space="0" w:color="auto"/>
        <w:bottom w:val="none" w:sz="0" w:space="0" w:color="auto"/>
        <w:right w:val="none" w:sz="0" w:space="0" w:color="auto"/>
      </w:divBdr>
      <w:divsChild>
        <w:div w:id="808280291">
          <w:marLeft w:val="0"/>
          <w:marRight w:val="0"/>
          <w:marTop w:val="0"/>
          <w:marBottom w:val="0"/>
          <w:divBdr>
            <w:top w:val="none" w:sz="0" w:space="0" w:color="auto"/>
            <w:left w:val="none" w:sz="0" w:space="0" w:color="auto"/>
            <w:bottom w:val="none" w:sz="0" w:space="0" w:color="auto"/>
            <w:right w:val="none" w:sz="0" w:space="0" w:color="auto"/>
          </w:divBdr>
        </w:div>
        <w:div w:id="281763209">
          <w:marLeft w:val="0"/>
          <w:marRight w:val="0"/>
          <w:marTop w:val="0"/>
          <w:marBottom w:val="0"/>
          <w:divBdr>
            <w:top w:val="none" w:sz="0" w:space="0" w:color="auto"/>
            <w:left w:val="none" w:sz="0" w:space="0" w:color="auto"/>
            <w:bottom w:val="none" w:sz="0" w:space="0" w:color="auto"/>
            <w:right w:val="none" w:sz="0" w:space="0" w:color="auto"/>
          </w:divBdr>
        </w:div>
        <w:div w:id="52317357">
          <w:marLeft w:val="0"/>
          <w:marRight w:val="0"/>
          <w:marTop w:val="0"/>
          <w:marBottom w:val="0"/>
          <w:divBdr>
            <w:top w:val="none" w:sz="0" w:space="0" w:color="auto"/>
            <w:left w:val="none" w:sz="0" w:space="0" w:color="auto"/>
            <w:bottom w:val="none" w:sz="0" w:space="0" w:color="auto"/>
            <w:right w:val="none" w:sz="0" w:space="0" w:color="auto"/>
          </w:divBdr>
        </w:div>
      </w:divsChild>
    </w:div>
    <w:div w:id="401373675">
      <w:bodyDiv w:val="1"/>
      <w:marLeft w:val="0"/>
      <w:marRight w:val="0"/>
      <w:marTop w:val="0"/>
      <w:marBottom w:val="0"/>
      <w:divBdr>
        <w:top w:val="none" w:sz="0" w:space="0" w:color="auto"/>
        <w:left w:val="none" w:sz="0" w:space="0" w:color="auto"/>
        <w:bottom w:val="none" w:sz="0" w:space="0" w:color="auto"/>
        <w:right w:val="none" w:sz="0" w:space="0" w:color="auto"/>
      </w:divBdr>
    </w:div>
    <w:div w:id="447743343">
      <w:bodyDiv w:val="1"/>
      <w:marLeft w:val="0"/>
      <w:marRight w:val="0"/>
      <w:marTop w:val="0"/>
      <w:marBottom w:val="0"/>
      <w:divBdr>
        <w:top w:val="none" w:sz="0" w:space="0" w:color="auto"/>
        <w:left w:val="none" w:sz="0" w:space="0" w:color="auto"/>
        <w:bottom w:val="none" w:sz="0" w:space="0" w:color="auto"/>
        <w:right w:val="none" w:sz="0" w:space="0" w:color="auto"/>
      </w:divBdr>
    </w:div>
    <w:div w:id="473182369">
      <w:bodyDiv w:val="1"/>
      <w:marLeft w:val="0"/>
      <w:marRight w:val="0"/>
      <w:marTop w:val="0"/>
      <w:marBottom w:val="0"/>
      <w:divBdr>
        <w:top w:val="none" w:sz="0" w:space="0" w:color="auto"/>
        <w:left w:val="none" w:sz="0" w:space="0" w:color="auto"/>
        <w:bottom w:val="none" w:sz="0" w:space="0" w:color="auto"/>
        <w:right w:val="none" w:sz="0" w:space="0" w:color="auto"/>
      </w:divBdr>
    </w:div>
    <w:div w:id="597560392">
      <w:bodyDiv w:val="1"/>
      <w:marLeft w:val="0"/>
      <w:marRight w:val="0"/>
      <w:marTop w:val="0"/>
      <w:marBottom w:val="0"/>
      <w:divBdr>
        <w:top w:val="none" w:sz="0" w:space="0" w:color="auto"/>
        <w:left w:val="none" w:sz="0" w:space="0" w:color="auto"/>
        <w:bottom w:val="none" w:sz="0" w:space="0" w:color="auto"/>
        <w:right w:val="none" w:sz="0" w:space="0" w:color="auto"/>
      </w:divBdr>
      <w:divsChild>
        <w:div w:id="622657839">
          <w:marLeft w:val="0"/>
          <w:marRight w:val="0"/>
          <w:marTop w:val="0"/>
          <w:marBottom w:val="0"/>
          <w:divBdr>
            <w:top w:val="none" w:sz="0" w:space="0" w:color="auto"/>
            <w:left w:val="none" w:sz="0" w:space="0" w:color="auto"/>
            <w:bottom w:val="none" w:sz="0" w:space="0" w:color="auto"/>
            <w:right w:val="none" w:sz="0" w:space="0" w:color="auto"/>
          </w:divBdr>
        </w:div>
        <w:div w:id="2069761597">
          <w:marLeft w:val="0"/>
          <w:marRight w:val="0"/>
          <w:marTop w:val="0"/>
          <w:marBottom w:val="0"/>
          <w:divBdr>
            <w:top w:val="none" w:sz="0" w:space="0" w:color="auto"/>
            <w:left w:val="none" w:sz="0" w:space="0" w:color="auto"/>
            <w:bottom w:val="none" w:sz="0" w:space="0" w:color="auto"/>
            <w:right w:val="none" w:sz="0" w:space="0" w:color="auto"/>
          </w:divBdr>
        </w:div>
        <w:div w:id="942542037">
          <w:marLeft w:val="0"/>
          <w:marRight w:val="0"/>
          <w:marTop w:val="0"/>
          <w:marBottom w:val="0"/>
          <w:divBdr>
            <w:top w:val="none" w:sz="0" w:space="0" w:color="auto"/>
            <w:left w:val="none" w:sz="0" w:space="0" w:color="auto"/>
            <w:bottom w:val="none" w:sz="0" w:space="0" w:color="auto"/>
            <w:right w:val="none" w:sz="0" w:space="0" w:color="auto"/>
          </w:divBdr>
        </w:div>
        <w:div w:id="1697922289">
          <w:marLeft w:val="0"/>
          <w:marRight w:val="0"/>
          <w:marTop w:val="0"/>
          <w:marBottom w:val="0"/>
          <w:divBdr>
            <w:top w:val="none" w:sz="0" w:space="0" w:color="auto"/>
            <w:left w:val="none" w:sz="0" w:space="0" w:color="auto"/>
            <w:bottom w:val="none" w:sz="0" w:space="0" w:color="auto"/>
            <w:right w:val="none" w:sz="0" w:space="0" w:color="auto"/>
          </w:divBdr>
        </w:div>
        <w:div w:id="364527975">
          <w:marLeft w:val="0"/>
          <w:marRight w:val="0"/>
          <w:marTop w:val="0"/>
          <w:marBottom w:val="0"/>
          <w:divBdr>
            <w:top w:val="none" w:sz="0" w:space="0" w:color="auto"/>
            <w:left w:val="none" w:sz="0" w:space="0" w:color="auto"/>
            <w:bottom w:val="none" w:sz="0" w:space="0" w:color="auto"/>
            <w:right w:val="none" w:sz="0" w:space="0" w:color="auto"/>
          </w:divBdr>
        </w:div>
      </w:divsChild>
    </w:div>
    <w:div w:id="788478237">
      <w:bodyDiv w:val="1"/>
      <w:marLeft w:val="0"/>
      <w:marRight w:val="0"/>
      <w:marTop w:val="0"/>
      <w:marBottom w:val="0"/>
      <w:divBdr>
        <w:top w:val="none" w:sz="0" w:space="0" w:color="auto"/>
        <w:left w:val="none" w:sz="0" w:space="0" w:color="auto"/>
        <w:bottom w:val="none" w:sz="0" w:space="0" w:color="auto"/>
        <w:right w:val="none" w:sz="0" w:space="0" w:color="auto"/>
      </w:divBdr>
    </w:div>
    <w:div w:id="939066426">
      <w:bodyDiv w:val="1"/>
      <w:marLeft w:val="0"/>
      <w:marRight w:val="0"/>
      <w:marTop w:val="0"/>
      <w:marBottom w:val="0"/>
      <w:divBdr>
        <w:top w:val="none" w:sz="0" w:space="0" w:color="auto"/>
        <w:left w:val="none" w:sz="0" w:space="0" w:color="auto"/>
        <w:bottom w:val="none" w:sz="0" w:space="0" w:color="auto"/>
        <w:right w:val="none" w:sz="0" w:space="0" w:color="auto"/>
      </w:divBdr>
      <w:divsChild>
        <w:div w:id="448015343">
          <w:marLeft w:val="0"/>
          <w:marRight w:val="0"/>
          <w:marTop w:val="0"/>
          <w:marBottom w:val="0"/>
          <w:divBdr>
            <w:top w:val="none" w:sz="0" w:space="0" w:color="auto"/>
            <w:left w:val="none" w:sz="0" w:space="0" w:color="auto"/>
            <w:bottom w:val="none" w:sz="0" w:space="0" w:color="auto"/>
            <w:right w:val="none" w:sz="0" w:space="0" w:color="auto"/>
          </w:divBdr>
        </w:div>
        <w:div w:id="2099909248">
          <w:marLeft w:val="0"/>
          <w:marRight w:val="0"/>
          <w:marTop w:val="0"/>
          <w:marBottom w:val="0"/>
          <w:divBdr>
            <w:top w:val="none" w:sz="0" w:space="0" w:color="auto"/>
            <w:left w:val="none" w:sz="0" w:space="0" w:color="auto"/>
            <w:bottom w:val="none" w:sz="0" w:space="0" w:color="auto"/>
            <w:right w:val="none" w:sz="0" w:space="0" w:color="auto"/>
          </w:divBdr>
        </w:div>
        <w:div w:id="1133671457">
          <w:marLeft w:val="0"/>
          <w:marRight w:val="0"/>
          <w:marTop w:val="0"/>
          <w:marBottom w:val="0"/>
          <w:divBdr>
            <w:top w:val="none" w:sz="0" w:space="0" w:color="auto"/>
            <w:left w:val="none" w:sz="0" w:space="0" w:color="auto"/>
            <w:bottom w:val="none" w:sz="0" w:space="0" w:color="auto"/>
            <w:right w:val="none" w:sz="0" w:space="0" w:color="auto"/>
          </w:divBdr>
        </w:div>
        <w:div w:id="1255939959">
          <w:marLeft w:val="0"/>
          <w:marRight w:val="0"/>
          <w:marTop w:val="0"/>
          <w:marBottom w:val="0"/>
          <w:divBdr>
            <w:top w:val="none" w:sz="0" w:space="0" w:color="auto"/>
            <w:left w:val="none" w:sz="0" w:space="0" w:color="auto"/>
            <w:bottom w:val="none" w:sz="0" w:space="0" w:color="auto"/>
            <w:right w:val="none" w:sz="0" w:space="0" w:color="auto"/>
          </w:divBdr>
        </w:div>
      </w:divsChild>
    </w:div>
    <w:div w:id="1046487755">
      <w:bodyDiv w:val="1"/>
      <w:marLeft w:val="0"/>
      <w:marRight w:val="0"/>
      <w:marTop w:val="0"/>
      <w:marBottom w:val="0"/>
      <w:divBdr>
        <w:top w:val="none" w:sz="0" w:space="0" w:color="auto"/>
        <w:left w:val="none" w:sz="0" w:space="0" w:color="auto"/>
        <w:bottom w:val="none" w:sz="0" w:space="0" w:color="auto"/>
        <w:right w:val="none" w:sz="0" w:space="0" w:color="auto"/>
      </w:divBdr>
    </w:div>
    <w:div w:id="1219316119">
      <w:bodyDiv w:val="1"/>
      <w:marLeft w:val="0"/>
      <w:marRight w:val="0"/>
      <w:marTop w:val="0"/>
      <w:marBottom w:val="0"/>
      <w:divBdr>
        <w:top w:val="none" w:sz="0" w:space="0" w:color="auto"/>
        <w:left w:val="none" w:sz="0" w:space="0" w:color="auto"/>
        <w:bottom w:val="none" w:sz="0" w:space="0" w:color="auto"/>
        <w:right w:val="none" w:sz="0" w:space="0" w:color="auto"/>
      </w:divBdr>
    </w:div>
    <w:div w:id="1324117643">
      <w:bodyDiv w:val="1"/>
      <w:marLeft w:val="0"/>
      <w:marRight w:val="0"/>
      <w:marTop w:val="0"/>
      <w:marBottom w:val="0"/>
      <w:divBdr>
        <w:top w:val="none" w:sz="0" w:space="0" w:color="auto"/>
        <w:left w:val="none" w:sz="0" w:space="0" w:color="auto"/>
        <w:bottom w:val="none" w:sz="0" w:space="0" w:color="auto"/>
        <w:right w:val="none" w:sz="0" w:space="0" w:color="auto"/>
      </w:divBdr>
    </w:div>
    <w:div w:id="1444764948">
      <w:bodyDiv w:val="1"/>
      <w:marLeft w:val="0"/>
      <w:marRight w:val="0"/>
      <w:marTop w:val="0"/>
      <w:marBottom w:val="0"/>
      <w:divBdr>
        <w:top w:val="none" w:sz="0" w:space="0" w:color="auto"/>
        <w:left w:val="none" w:sz="0" w:space="0" w:color="auto"/>
        <w:bottom w:val="none" w:sz="0" w:space="0" w:color="auto"/>
        <w:right w:val="none" w:sz="0" w:space="0" w:color="auto"/>
      </w:divBdr>
    </w:div>
    <w:div w:id="1663897614">
      <w:bodyDiv w:val="1"/>
      <w:marLeft w:val="0"/>
      <w:marRight w:val="0"/>
      <w:marTop w:val="0"/>
      <w:marBottom w:val="0"/>
      <w:divBdr>
        <w:top w:val="none" w:sz="0" w:space="0" w:color="auto"/>
        <w:left w:val="none" w:sz="0" w:space="0" w:color="auto"/>
        <w:bottom w:val="none" w:sz="0" w:space="0" w:color="auto"/>
        <w:right w:val="none" w:sz="0" w:space="0" w:color="auto"/>
      </w:divBdr>
    </w:div>
    <w:div w:id="1730954636">
      <w:bodyDiv w:val="1"/>
      <w:marLeft w:val="0"/>
      <w:marRight w:val="0"/>
      <w:marTop w:val="0"/>
      <w:marBottom w:val="0"/>
      <w:divBdr>
        <w:top w:val="none" w:sz="0" w:space="0" w:color="auto"/>
        <w:left w:val="none" w:sz="0" w:space="0" w:color="auto"/>
        <w:bottom w:val="none" w:sz="0" w:space="0" w:color="auto"/>
        <w:right w:val="none" w:sz="0" w:space="0" w:color="auto"/>
      </w:divBdr>
      <w:divsChild>
        <w:div w:id="1431655105">
          <w:marLeft w:val="0"/>
          <w:marRight w:val="0"/>
          <w:marTop w:val="0"/>
          <w:marBottom w:val="0"/>
          <w:divBdr>
            <w:top w:val="none" w:sz="0" w:space="0" w:color="auto"/>
            <w:left w:val="none" w:sz="0" w:space="0" w:color="auto"/>
            <w:bottom w:val="none" w:sz="0" w:space="0" w:color="auto"/>
            <w:right w:val="none" w:sz="0" w:space="0" w:color="auto"/>
          </w:divBdr>
        </w:div>
        <w:div w:id="1734231249">
          <w:marLeft w:val="0"/>
          <w:marRight w:val="0"/>
          <w:marTop w:val="0"/>
          <w:marBottom w:val="0"/>
          <w:divBdr>
            <w:top w:val="none" w:sz="0" w:space="0" w:color="auto"/>
            <w:left w:val="none" w:sz="0" w:space="0" w:color="auto"/>
            <w:bottom w:val="none" w:sz="0" w:space="0" w:color="auto"/>
            <w:right w:val="none" w:sz="0" w:space="0" w:color="auto"/>
          </w:divBdr>
        </w:div>
        <w:div w:id="458690347">
          <w:marLeft w:val="0"/>
          <w:marRight w:val="0"/>
          <w:marTop w:val="0"/>
          <w:marBottom w:val="0"/>
          <w:divBdr>
            <w:top w:val="none" w:sz="0" w:space="0" w:color="auto"/>
            <w:left w:val="none" w:sz="0" w:space="0" w:color="auto"/>
            <w:bottom w:val="none" w:sz="0" w:space="0" w:color="auto"/>
            <w:right w:val="none" w:sz="0" w:space="0" w:color="auto"/>
          </w:divBdr>
        </w:div>
      </w:divsChild>
    </w:div>
    <w:div w:id="1794712226">
      <w:bodyDiv w:val="1"/>
      <w:marLeft w:val="0"/>
      <w:marRight w:val="0"/>
      <w:marTop w:val="0"/>
      <w:marBottom w:val="0"/>
      <w:divBdr>
        <w:top w:val="none" w:sz="0" w:space="0" w:color="auto"/>
        <w:left w:val="none" w:sz="0" w:space="0" w:color="auto"/>
        <w:bottom w:val="none" w:sz="0" w:space="0" w:color="auto"/>
        <w:right w:val="none" w:sz="0" w:space="0" w:color="auto"/>
      </w:divBdr>
      <w:divsChild>
        <w:div w:id="2094662557">
          <w:marLeft w:val="0"/>
          <w:marRight w:val="0"/>
          <w:marTop w:val="0"/>
          <w:marBottom w:val="0"/>
          <w:divBdr>
            <w:top w:val="none" w:sz="0" w:space="0" w:color="auto"/>
            <w:left w:val="none" w:sz="0" w:space="0" w:color="auto"/>
            <w:bottom w:val="none" w:sz="0" w:space="0" w:color="auto"/>
            <w:right w:val="none" w:sz="0" w:space="0" w:color="auto"/>
          </w:divBdr>
        </w:div>
        <w:div w:id="551111768">
          <w:marLeft w:val="0"/>
          <w:marRight w:val="0"/>
          <w:marTop w:val="0"/>
          <w:marBottom w:val="0"/>
          <w:divBdr>
            <w:top w:val="none" w:sz="0" w:space="0" w:color="auto"/>
            <w:left w:val="none" w:sz="0" w:space="0" w:color="auto"/>
            <w:bottom w:val="none" w:sz="0" w:space="0" w:color="auto"/>
            <w:right w:val="none" w:sz="0" w:space="0" w:color="auto"/>
          </w:divBdr>
        </w:div>
      </w:divsChild>
    </w:div>
    <w:div w:id="1969389159">
      <w:bodyDiv w:val="1"/>
      <w:marLeft w:val="0"/>
      <w:marRight w:val="0"/>
      <w:marTop w:val="0"/>
      <w:marBottom w:val="0"/>
      <w:divBdr>
        <w:top w:val="none" w:sz="0" w:space="0" w:color="auto"/>
        <w:left w:val="none" w:sz="0" w:space="0" w:color="auto"/>
        <w:bottom w:val="none" w:sz="0" w:space="0" w:color="auto"/>
        <w:right w:val="none" w:sz="0" w:space="0" w:color="auto"/>
      </w:divBdr>
    </w:div>
    <w:div w:id="1981765127">
      <w:bodyDiv w:val="1"/>
      <w:marLeft w:val="0"/>
      <w:marRight w:val="0"/>
      <w:marTop w:val="0"/>
      <w:marBottom w:val="0"/>
      <w:divBdr>
        <w:top w:val="none" w:sz="0" w:space="0" w:color="auto"/>
        <w:left w:val="none" w:sz="0" w:space="0" w:color="auto"/>
        <w:bottom w:val="none" w:sz="0" w:space="0" w:color="auto"/>
        <w:right w:val="none" w:sz="0" w:space="0" w:color="auto"/>
      </w:divBdr>
    </w:div>
    <w:div w:id="2012756640">
      <w:bodyDiv w:val="1"/>
      <w:marLeft w:val="0"/>
      <w:marRight w:val="0"/>
      <w:marTop w:val="0"/>
      <w:marBottom w:val="0"/>
      <w:divBdr>
        <w:top w:val="none" w:sz="0" w:space="0" w:color="auto"/>
        <w:left w:val="none" w:sz="0" w:space="0" w:color="auto"/>
        <w:bottom w:val="none" w:sz="0" w:space="0" w:color="auto"/>
        <w:right w:val="none" w:sz="0" w:space="0" w:color="auto"/>
      </w:divBdr>
      <w:divsChild>
        <w:div w:id="2058814504">
          <w:marLeft w:val="547"/>
          <w:marRight w:val="0"/>
          <w:marTop w:val="0"/>
          <w:marBottom w:val="200"/>
          <w:divBdr>
            <w:top w:val="none" w:sz="0" w:space="0" w:color="auto"/>
            <w:left w:val="none" w:sz="0" w:space="0" w:color="auto"/>
            <w:bottom w:val="none" w:sz="0" w:space="0" w:color="auto"/>
            <w:right w:val="none" w:sz="0" w:space="0" w:color="auto"/>
          </w:divBdr>
        </w:div>
      </w:divsChild>
    </w:div>
    <w:div w:id="2100329270">
      <w:bodyDiv w:val="1"/>
      <w:marLeft w:val="0"/>
      <w:marRight w:val="0"/>
      <w:marTop w:val="0"/>
      <w:marBottom w:val="0"/>
      <w:divBdr>
        <w:top w:val="none" w:sz="0" w:space="0" w:color="auto"/>
        <w:left w:val="none" w:sz="0" w:space="0" w:color="auto"/>
        <w:bottom w:val="none" w:sz="0" w:space="0" w:color="auto"/>
        <w:right w:val="none" w:sz="0" w:space="0" w:color="auto"/>
      </w:divBdr>
      <w:divsChild>
        <w:div w:id="587539674">
          <w:marLeft w:val="0"/>
          <w:marRight w:val="0"/>
          <w:marTop w:val="0"/>
          <w:marBottom w:val="0"/>
          <w:divBdr>
            <w:top w:val="none" w:sz="0" w:space="0" w:color="auto"/>
            <w:left w:val="none" w:sz="0" w:space="0" w:color="auto"/>
            <w:bottom w:val="none" w:sz="0" w:space="0" w:color="auto"/>
            <w:right w:val="none" w:sz="0" w:space="0" w:color="auto"/>
          </w:divBdr>
        </w:div>
        <w:div w:id="1061905920">
          <w:marLeft w:val="0"/>
          <w:marRight w:val="0"/>
          <w:marTop w:val="0"/>
          <w:marBottom w:val="0"/>
          <w:divBdr>
            <w:top w:val="none" w:sz="0" w:space="0" w:color="auto"/>
            <w:left w:val="none" w:sz="0" w:space="0" w:color="auto"/>
            <w:bottom w:val="none" w:sz="0" w:space="0" w:color="auto"/>
            <w:right w:val="none" w:sz="0" w:space="0" w:color="auto"/>
          </w:divBdr>
        </w:div>
        <w:div w:id="565993622">
          <w:marLeft w:val="0"/>
          <w:marRight w:val="0"/>
          <w:marTop w:val="0"/>
          <w:marBottom w:val="0"/>
          <w:divBdr>
            <w:top w:val="none" w:sz="0" w:space="0" w:color="auto"/>
            <w:left w:val="none" w:sz="0" w:space="0" w:color="auto"/>
            <w:bottom w:val="none" w:sz="0" w:space="0" w:color="auto"/>
            <w:right w:val="none" w:sz="0" w:space="0" w:color="auto"/>
          </w:divBdr>
        </w:div>
        <w:div w:id="231041542">
          <w:marLeft w:val="0"/>
          <w:marRight w:val="0"/>
          <w:marTop w:val="0"/>
          <w:marBottom w:val="0"/>
          <w:divBdr>
            <w:top w:val="none" w:sz="0" w:space="0" w:color="auto"/>
            <w:left w:val="none" w:sz="0" w:space="0" w:color="auto"/>
            <w:bottom w:val="none" w:sz="0" w:space="0" w:color="auto"/>
            <w:right w:val="none" w:sz="0" w:space="0" w:color="auto"/>
          </w:divBdr>
        </w:div>
        <w:div w:id="37712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hyperlink" Target="https://mgmt.wharton.upenn.edu/profile/1327/"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hyperlink" Target="http://dx.doi.org/10.10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hyperlink" Target="http://onlinelibrary.wiley.com/doi/10.1002/smj.2180/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hyperlink" Target="http://mooreschool.sc.edu/facultyresearch/faculty.aspx?faculty_id=191"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hyperlink" Target="http://www.stern.nyu.edu/faculty/bio/sinziana-dorobantu" TargetMode="External"/><Relationship Id="rId30" Type="http://schemas.openxmlformats.org/officeDocument/2006/relationships/hyperlink" Target="http://www.pdac.ca/programs/e3-plus" TargetMode="External"/><Relationship Id="rId8"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412B-7F76-42EC-9B8E-91C6C4CB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9278</Words>
  <Characters>51029</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Yabed Jose Contreras Zambrano</cp:lastModifiedBy>
  <cp:revision>3</cp:revision>
  <dcterms:created xsi:type="dcterms:W3CDTF">2015-02-05T01:43:00Z</dcterms:created>
  <dcterms:modified xsi:type="dcterms:W3CDTF">2015-04-26T18:22:00Z</dcterms:modified>
</cp:coreProperties>
</file>