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8F71B" w14:textId="77777777" w:rsidR="004A0D77" w:rsidRPr="004A0D77" w:rsidRDefault="004A0D77" w:rsidP="004A0D77">
      <w:pPr>
        <w:jc w:val="center"/>
        <w:rPr>
          <w:b/>
          <w:color w:val="000000" w:themeColor="text1"/>
          <w:lang w:val="es-ES"/>
        </w:rPr>
      </w:pPr>
      <w:bookmarkStart w:id="0" w:name="_Toc132095588"/>
      <w:bookmarkStart w:id="1" w:name="_Toc146430565"/>
      <w:r w:rsidRPr="004A0D77">
        <w:rPr>
          <w:b/>
          <w:color w:val="000000" w:themeColor="text1"/>
          <w:lang w:val="es-ES"/>
        </w:rPr>
        <w:t>ROL DE LA CULTURA WAYÚU EN EL DESARROLLO DEL TURISMO ÉTNICO DEL DEPARTAMENTO DE LA GUAJIRA – COLOMBIA</w:t>
      </w:r>
    </w:p>
    <w:p w14:paraId="378CAAB0" w14:textId="77777777" w:rsidR="004A0D77" w:rsidRPr="004A0D77" w:rsidRDefault="004A0D77" w:rsidP="004A0D77">
      <w:pPr>
        <w:jc w:val="center"/>
        <w:rPr>
          <w:b/>
          <w:color w:val="000000" w:themeColor="text1"/>
          <w:lang w:val="es-ES"/>
        </w:rPr>
      </w:pPr>
    </w:p>
    <w:p w14:paraId="2A7D00B9" w14:textId="77777777" w:rsidR="004A0D77" w:rsidRPr="004A0D77" w:rsidRDefault="004A0D77" w:rsidP="004A0D77">
      <w:pPr>
        <w:jc w:val="center"/>
        <w:rPr>
          <w:b/>
          <w:color w:val="000000" w:themeColor="text1"/>
          <w:lang w:val="es-ES"/>
        </w:rPr>
      </w:pPr>
      <w:r w:rsidRPr="004A0D77">
        <w:rPr>
          <w:b/>
          <w:color w:val="000000" w:themeColor="text1"/>
          <w:lang w:val="es-ES"/>
        </w:rPr>
        <w:t>RESUMEN</w:t>
      </w:r>
    </w:p>
    <w:p w14:paraId="18918A6F" w14:textId="77777777" w:rsidR="004A0D77" w:rsidRPr="004A0D77" w:rsidRDefault="004A0D77" w:rsidP="004A0D77">
      <w:pPr>
        <w:jc w:val="center"/>
        <w:rPr>
          <w:b/>
          <w:color w:val="000000" w:themeColor="text1"/>
          <w:lang w:val="es-ES"/>
        </w:rPr>
      </w:pPr>
    </w:p>
    <w:p w14:paraId="227873E8" w14:textId="77777777" w:rsidR="004A0D77" w:rsidRPr="004A0D77" w:rsidRDefault="004A0D77" w:rsidP="004A0D77">
      <w:pPr>
        <w:spacing w:before="60" w:after="100" w:afterAutospacing="1" w:line="360" w:lineRule="auto"/>
        <w:contextualSpacing/>
        <w:jc w:val="both"/>
        <w:rPr>
          <w:color w:val="000000" w:themeColor="text1"/>
          <w:lang w:val="es-ES"/>
        </w:rPr>
      </w:pPr>
      <w:r w:rsidRPr="004A0D77">
        <w:rPr>
          <w:color w:val="000000" w:themeColor="text1"/>
          <w:lang w:val="es-ES"/>
        </w:rPr>
        <w:t>Existe consenso al afirmar la importancia del turismo y como actividad económica  esta llamada a replantear los tradicionales renglones de las economías mundiales, en Colombia la actividad turística ha mostrado significativos avances en materias de indicadores, pero sobre todo ha impactado positivamente en la generación de oportunidades al eliminar las pobrezas de la comunidades involucradas y mejoramiento de la calidad de vida para los residentes en los entornos turísticos.</w:t>
      </w:r>
    </w:p>
    <w:p w14:paraId="4E967010" w14:textId="7C55EFDF" w:rsidR="004A0D77" w:rsidRPr="004A0D77" w:rsidRDefault="004A0D77" w:rsidP="004A0D77">
      <w:pPr>
        <w:spacing w:before="60" w:after="100" w:afterAutospacing="1" w:line="360" w:lineRule="auto"/>
        <w:contextualSpacing/>
        <w:jc w:val="both"/>
        <w:rPr>
          <w:color w:val="000000" w:themeColor="text1"/>
          <w:lang w:val="es-ES"/>
        </w:rPr>
      </w:pPr>
      <w:r w:rsidRPr="004A0D77">
        <w:rPr>
          <w:color w:val="000000" w:themeColor="text1"/>
          <w:lang w:val="es-ES"/>
        </w:rPr>
        <w:t xml:space="preserve">En Colombia el turismo étnico ha sido una de las categorías turísticas que ha despertado un reciente interés como elemento de investigación, dada la variedad étnica de nuestro país y lo interesante de sus costumbres ancestrales. En la presente investigación se realizara  un estudio que nos permita comprender cual es el Rol de la cultura wayuu en el desarrollo del turismo étnico del departamento de La Guajira – Colombia. </w:t>
      </w:r>
    </w:p>
    <w:p w14:paraId="182F68EC" w14:textId="07E04AF5" w:rsidR="004A0D77" w:rsidRPr="004A0D77" w:rsidRDefault="004A0D77" w:rsidP="004A0D77">
      <w:pPr>
        <w:spacing w:before="60" w:after="100" w:afterAutospacing="1" w:line="360" w:lineRule="auto"/>
        <w:contextualSpacing/>
        <w:jc w:val="both"/>
        <w:rPr>
          <w:color w:val="000000" w:themeColor="text1"/>
          <w:lang w:val="es-ES"/>
        </w:rPr>
      </w:pPr>
      <w:r w:rsidRPr="004A0D77">
        <w:rPr>
          <w:color w:val="000000" w:themeColor="text1"/>
          <w:lang w:val="es-ES"/>
        </w:rPr>
        <w:t>Tomando como referente el método etnográfico se pretende conocer los valores, creencias y cosmogonía  de la etnia wayuu; como también las principales características de los atractivos étnicos de su mundo ancestral y el papel de los nativos en el turismo étnico del departamento.</w:t>
      </w:r>
      <w:r w:rsidRPr="004A0D77">
        <w:rPr>
          <w:color w:val="000000" w:themeColor="text1"/>
          <w:lang w:val="es-ES"/>
        </w:rPr>
        <w:fldChar w:fldCharType="begin"/>
      </w:r>
      <w:r w:rsidRPr="004A0D77">
        <w:rPr>
          <w:color w:val="000000" w:themeColor="text1"/>
          <w:lang w:val="es-ES"/>
        </w:rPr>
        <w:instrText xml:space="preserve"> SUBJECT  </w:instrText>
      </w:r>
      <w:r w:rsidRPr="004A0D77">
        <w:rPr>
          <w:color w:val="000000" w:themeColor="text1"/>
          <w:lang w:val="es-ES"/>
        </w:rPr>
        <w:fldChar w:fldCharType="end"/>
      </w:r>
    </w:p>
    <w:p w14:paraId="455B498B" w14:textId="5E9A8BDC" w:rsidR="00D07943" w:rsidRPr="004A0D77" w:rsidRDefault="00FC0871" w:rsidP="000840E7">
      <w:pPr>
        <w:pStyle w:val="Puesto"/>
        <w:numPr>
          <w:ilvl w:val="0"/>
          <w:numId w:val="41"/>
        </w:numPr>
        <w:rPr>
          <w:rFonts w:ascii="Times New Roman" w:hAnsi="Times New Roman" w:cs="Times New Roman"/>
          <w:color w:val="000000" w:themeColor="text1"/>
          <w:sz w:val="24"/>
          <w:szCs w:val="24"/>
        </w:rPr>
      </w:pPr>
      <w:r w:rsidRPr="004A0D77">
        <w:rPr>
          <w:rFonts w:ascii="Times New Roman" w:hAnsi="Times New Roman" w:cs="Times New Roman"/>
          <w:color w:val="000000" w:themeColor="text1"/>
          <w:sz w:val="24"/>
          <w:szCs w:val="24"/>
        </w:rPr>
        <w:t>INTRODUCCION</w:t>
      </w:r>
    </w:p>
    <w:p w14:paraId="4EF6F910" w14:textId="77777777" w:rsidR="001803FB" w:rsidRPr="004A0D77" w:rsidRDefault="001803FB" w:rsidP="001803FB">
      <w:pPr>
        <w:jc w:val="both"/>
        <w:rPr>
          <w:color w:val="000000" w:themeColor="text1"/>
          <w:szCs w:val="22"/>
          <w:lang w:val="es-ES"/>
        </w:rPr>
      </w:pPr>
    </w:p>
    <w:p w14:paraId="0620937F" w14:textId="77777777" w:rsidR="00DD67A5" w:rsidRPr="004A0D77" w:rsidRDefault="001803FB" w:rsidP="00DD67A5">
      <w:pPr>
        <w:spacing w:line="360" w:lineRule="auto"/>
        <w:jc w:val="both"/>
        <w:rPr>
          <w:color w:val="000000" w:themeColor="text1"/>
          <w:lang w:val="es-ES"/>
        </w:rPr>
      </w:pPr>
      <w:r w:rsidRPr="004A0D77">
        <w:rPr>
          <w:color w:val="000000" w:themeColor="text1"/>
          <w:lang w:val="es-ES"/>
        </w:rPr>
        <w:t xml:space="preserve">El turismo a nivel mundial se ha considerado clave para la prosperidad y el desarrollo de las regiones, en los últimos años la actividad turística ha demostrado fuertes indicadores económicos para las naciones, su continua expansión y especialización ha impactando significativamente a las economías nacionales. </w:t>
      </w:r>
      <w:r w:rsidR="00DD67A5" w:rsidRPr="004A0D77">
        <w:rPr>
          <w:color w:val="000000" w:themeColor="text1"/>
          <w:lang w:val="es-ES"/>
        </w:rPr>
        <w:t xml:space="preserve">En efecto el turismo es visto como un medio de lograr la reducción de la pobreza, sin embargo es relacionadas con el hecho de que sólo algunos de los países menos desarrollados del mundo tienen niveles significativos de recibos turísticos </w:t>
      </w:r>
      <w:r w:rsidR="00DD67A5" w:rsidRPr="004A0D77">
        <w:rPr>
          <w:color w:val="000000" w:themeColor="text1"/>
          <w:lang w:val="es-ES"/>
        </w:rPr>
        <w:fldChar w:fldCharType="begin" w:fldLock="1"/>
      </w:r>
      <w:r w:rsidR="00DD67A5" w:rsidRPr="004A0D77">
        <w:rPr>
          <w:color w:val="000000" w:themeColor="text1"/>
          <w:lang w:val="es-ES"/>
        </w:rPr>
        <w:instrText>ADDIN CSL_CITATION { "citationItems" : [ { "id" : "ITEM-1", "itemData" : { "DOI" : "10.1016/j.annals.2007.06.013", "ISBN" : "0160-7383", "ISSN" : "01607383", "abstract" : "This paper examines the issue of how tourism affects poverty in the context of its effects on an economy as a whole and on particular sectors within it. A framework for analyzing the channels through which tourism influences different households is developed, and a computable general equilibrium model of the Brazilian economy is used to examine the economic impact and distributional impacts of tourism in the country. It is shown that the effects on all income groups are positive. The lowest income households benefit but by less than some higher income groups. Policies that could redistribute greater shares of the revenue to the poor are considered. ?? 2007 Elsevier Ltd. All rights reserved.", "author" : [ { "dropping-particle" : "", "family" : "Blake", "given" : "Adam", "non-dropping-particle" : "", "parse-names" : false, "suffix" : "" }, { "dropping-particle" : "", "family" : "Arbache", "given" : "Jorge Saba", "non-dropping-particle" : "", "parse-names" : false, "suffix" : "" }, { "dropping-particle" : "", "family" : "Sinclair", "given" : "M. Thea", "non-dropping-particle" : "", "parse-names" : false, "suffix" : "" }, { "dropping-particle" : "", "family" : "Teles", "given" : "Vladimir", "non-dropping-particle" : "", "parse-names" : false, "suffix" : "" } ], "container-title" : "Annals of Tourism Research", "id" : "ITEM-1", "issue" : "1", "issued" : { "date-parts" : [ [ "2008" ] ] }, "page" : "107-126", "title" : "Tourism and poverty relief", "type" : "article-journal", "volume" : "35" }, "uris" : [ "http://www.mendeley.com/documents/?uuid=3ec72f55-1dda-4f13-b7d2-54c748493185" ] } ], "mendeley" : { "formattedCitation" : "(Blake et al., 2008)", "plainTextFormattedCitation" : "(Blake et al., 2008)", "previouslyFormattedCitation" : "(Blake et al., 2008)" }, "properties" : { "noteIndex" : 0 }, "schema" : "https://github.com/citation-style-language/schema/raw/master/csl-citation.json" }</w:instrText>
      </w:r>
      <w:r w:rsidR="00DD67A5" w:rsidRPr="004A0D77">
        <w:rPr>
          <w:color w:val="000000" w:themeColor="text1"/>
          <w:lang w:val="es-ES"/>
        </w:rPr>
        <w:fldChar w:fldCharType="separate"/>
      </w:r>
      <w:r w:rsidR="00DD67A5" w:rsidRPr="004A0D77">
        <w:rPr>
          <w:noProof/>
          <w:color w:val="000000" w:themeColor="text1"/>
          <w:lang w:val="es-ES"/>
        </w:rPr>
        <w:t>(Blake et al., 2008)</w:t>
      </w:r>
      <w:r w:rsidR="00DD67A5" w:rsidRPr="004A0D77">
        <w:rPr>
          <w:color w:val="000000" w:themeColor="text1"/>
          <w:lang w:val="es-ES"/>
        </w:rPr>
        <w:fldChar w:fldCharType="end"/>
      </w:r>
      <w:r w:rsidR="00DD67A5" w:rsidRPr="004A0D77">
        <w:rPr>
          <w:color w:val="000000" w:themeColor="text1"/>
          <w:lang w:val="es-ES"/>
        </w:rPr>
        <w:t xml:space="preserve">. </w:t>
      </w:r>
    </w:p>
    <w:p w14:paraId="52F8979C" w14:textId="77777777" w:rsidR="001803FB" w:rsidRPr="004A0D77" w:rsidRDefault="001803FB" w:rsidP="001803FB">
      <w:pPr>
        <w:spacing w:line="360" w:lineRule="auto"/>
        <w:jc w:val="both"/>
        <w:rPr>
          <w:color w:val="000000" w:themeColor="text1"/>
          <w:lang w:val="es-ES"/>
        </w:rPr>
      </w:pPr>
    </w:p>
    <w:p w14:paraId="5D33B171" w14:textId="2AC71534" w:rsidR="001803FB" w:rsidRPr="004A0D77" w:rsidRDefault="001803FB" w:rsidP="001803FB">
      <w:pPr>
        <w:spacing w:line="360" w:lineRule="auto"/>
        <w:jc w:val="both"/>
        <w:rPr>
          <w:color w:val="000000" w:themeColor="text1"/>
          <w:lang w:val="es-ES"/>
        </w:rPr>
      </w:pPr>
      <w:r w:rsidRPr="004A0D77">
        <w:rPr>
          <w:color w:val="000000" w:themeColor="text1"/>
          <w:lang w:val="es-ES"/>
        </w:rPr>
        <w:t>Ciertamente, existe consenso al afirmar que la actividad turística se ha convertido en un motor de desarrollo e instrumento positivo para la promoción del crecimiento económico y la disminución de la brechas regionales (</w:t>
      </w:r>
      <w:r w:rsidRPr="004A0D77">
        <w:rPr>
          <w:color w:val="000000" w:themeColor="text1"/>
          <w:lang w:val="es-ES"/>
        </w:rPr>
        <w:fldChar w:fldCharType="begin" w:fldLock="1"/>
      </w:r>
      <w:r w:rsidRPr="004A0D77">
        <w:rPr>
          <w:color w:val="000000" w:themeColor="text1"/>
          <w:lang w:val="es-ES"/>
        </w:rPr>
        <w:instrText>ADDIN CSL_CITATION { "citationItems" : [ { "id" : "ITEM-1", "itemData" : { "DOI" : "10.1016/j.econmod.2013.04.024", "ISSN" : "02649993", "abstract" : "This study examines causal relationships between tourism spending and economic growth in 10 transition countries for the period 1988-2011. Panel causality analysis, which accounts for dependency and heterogeneity across countries, is used herein. Our empirical results support the evidence on the direction of causality, and are consistent with the neutrality hypothesis for 3 of these 10 transition countries (i.e. Bulgaria, Romania and Slovenia). The growth hypothesis holds for Cyprus, Latvia and Slovakia while reverse relationships were found for the Czech Republic and Poland. The feedback hypothesis also holds for Estonia and Hungary. Our empirical findings provide important policy implications for the 10 transition countries being studied. ?? 2013.", "author" : [ { "dropping-particle" : "", "family" : "Chou", "given" : "Ming Che", "non-dropping-particle" : "", "parse-names" : false, "suffix" : "" } ], "container-title" : "Economic Modelling", "id" : "ITEM-1", "issued" : { "date-parts" : [ [ "2013" ] ] }, "page" : "226-232", "publisher" : "The Author. Published by Elsevier B.V. All rights reserved.", "title" : "Does tourism development promote economic growth in transition countries? A panel data analysis", "type" : "article-journal", "volume" : "33" }, "uris" : [ "http://www.mendeley.com/documents/?uuid=228680a2-fd23-413b-bef0-34bcfdc2af93" ] } ], "mendeley" : { "formattedCitation" : "(Chou, 2013)", "manualFormatting" : "Chou, 2013", "plainTextFormattedCitation" : "(Chou, 2013)", "previouslyFormattedCitation" : "(Chou, 2013)" }, "properties" : { "noteIndex" : 0 }, "schema" : "https://github.com/citation-style-language/schema/raw/master/csl-citation.json" }</w:instrText>
      </w:r>
      <w:r w:rsidRPr="004A0D77">
        <w:rPr>
          <w:color w:val="000000" w:themeColor="text1"/>
          <w:lang w:val="es-ES"/>
        </w:rPr>
        <w:fldChar w:fldCharType="separate"/>
      </w:r>
      <w:r w:rsidRPr="004A0D77">
        <w:rPr>
          <w:noProof/>
          <w:color w:val="000000" w:themeColor="text1"/>
          <w:lang w:val="es-ES"/>
        </w:rPr>
        <w:t>Chou, 2013</w:t>
      </w:r>
      <w:r w:rsidRPr="004A0D77">
        <w:rPr>
          <w:color w:val="000000" w:themeColor="text1"/>
          <w:lang w:val="es-ES"/>
        </w:rPr>
        <w:fldChar w:fldCharType="end"/>
      </w:r>
      <w:r w:rsidRPr="004A0D77">
        <w:rPr>
          <w:color w:val="000000" w:themeColor="text1"/>
          <w:lang w:val="es-ES"/>
        </w:rPr>
        <w:t xml:space="preserve"> ; </w:t>
      </w:r>
      <w:r w:rsidRPr="004A0D77">
        <w:rPr>
          <w:color w:val="000000" w:themeColor="text1"/>
          <w:lang w:val="es-ES"/>
        </w:rPr>
        <w:fldChar w:fldCharType="begin" w:fldLock="1"/>
      </w:r>
      <w:r w:rsidRPr="004A0D77">
        <w:rPr>
          <w:color w:val="000000" w:themeColor="text1"/>
          <w:lang w:val="es-ES"/>
        </w:rPr>
        <w:instrText>ADDIN CSL_CITATION { "citationItems" : [ { "id" : "ITEM-1", "itemData" : { "DOI" : "10.1016/j.annals.2007.06.013", "ISBN" : "0160-7383", "ISSN" : "01607383", "abstract" : "This paper examines the issue of how tourism affects poverty in the context of its effects on an economy as a whole and on particular sectors within it. A framework for analyzing the channels through which tourism influences different households is developed, and a computable general equilibrium model of the Brazilian economy is used to examine the economic impact and distributional impacts of tourism in the country. It is shown that the effects on all income groups are positive. The lowest income households benefit but by less than some higher income groups. Policies that could redistribute greater shares of the revenue to the poor are considered. ?? 2007 Elsevier Ltd. All rights reserved.", "author" : [ { "dropping-particle" : "", "family" : "Blake", "given" : "Adam", "non-dropping-particle" : "", "parse-names" : false, "suffix" : "" }, { "dropping-particle" : "", "family" : "Arbache", "given" : "Jorge Saba", "non-dropping-particle" : "", "parse-names" : false, "suffix" : "" }, { "dropping-particle" : "", "family" : "Sinclair", "given" : "M. Thea", "non-dropping-particle" : "", "parse-names" : false, "suffix" : "" }, { "dropping-particle" : "", "family" : "Teles", "given" : "Vladimir", "non-dropping-particle" : "", "parse-names" : false, "suffix" : "" } ], "container-title" : "Annals of Tourism Research", "id" : "ITEM-1", "issue" : "1", "issued" : { "date-parts" : [ [ "2008" ] ] }, "page" : "107-126", "title" : "Tourism and poverty relief", "type" : "article-journal", "volume" : "35" }, "uris" : [ "http://www.mendeley.com/documents/?uuid=3ec72f55-1dda-4f13-b7d2-54c748493185" ] } ], "mendeley" : { "formattedCitation" : "(Blake, Arbache, Sinclair, &amp; Teles, 2008)", "manualFormatting" : "Blake, Arbache, Sinclair, y Teles, 2008", "plainTextFormattedCitation" : "(Blake, Arbache, Sinclair, &amp; Teles, 2008)", "previouslyFormattedCitation" : "(Blake, Arbache, Sinclair, &amp; Teles, 2008)" }, "properties" : { "noteIndex" : 0 }, "schema" : "https://github.com/citation-style-language/schema/raw/master/csl-citation.json" }</w:instrText>
      </w:r>
      <w:r w:rsidRPr="004A0D77">
        <w:rPr>
          <w:color w:val="000000" w:themeColor="text1"/>
          <w:lang w:val="es-ES"/>
        </w:rPr>
        <w:fldChar w:fldCharType="separate"/>
      </w:r>
      <w:r w:rsidRPr="004A0D77">
        <w:rPr>
          <w:noProof/>
          <w:color w:val="000000" w:themeColor="text1"/>
          <w:lang w:val="es-ES"/>
        </w:rPr>
        <w:t>Blake, Arbache, Sinclair, y Teles, 2008</w:t>
      </w:r>
      <w:r w:rsidRPr="004A0D77">
        <w:rPr>
          <w:color w:val="000000" w:themeColor="text1"/>
          <w:lang w:val="es-ES"/>
        </w:rPr>
        <w:fldChar w:fldCharType="end"/>
      </w:r>
      <w:r w:rsidRPr="004A0D77">
        <w:rPr>
          <w:color w:val="000000" w:themeColor="text1"/>
          <w:lang w:val="es-ES"/>
        </w:rPr>
        <w:t xml:space="preserve">; </w:t>
      </w:r>
      <w:r w:rsidRPr="004A0D77">
        <w:rPr>
          <w:color w:val="000000" w:themeColor="text1"/>
          <w:lang w:val="es-ES"/>
        </w:rPr>
        <w:fldChar w:fldCharType="begin" w:fldLock="1"/>
      </w:r>
      <w:r w:rsidRPr="004A0D77">
        <w:rPr>
          <w:color w:val="000000" w:themeColor="text1"/>
          <w:lang w:val="es-ES"/>
        </w:rPr>
        <w:instrText>ADDIN CSL_CITATION { "citationItems" : [ { "id" : "ITEM-1", "itemData" : { "DOI" : "10.1016/j.tourman.2015.03.004", "ISSN" : "02615177", "abstract" : "This study uses a vector autoregressive approach to estimate the regional effects of tourism in Portugal with the ultimate objective of assessing tourism's role in reducing regional asymmetries. We identify the locations where tourism generates higher effects for each region, as well as the regions where tourism generates the strongest effects on the country's economic performance. This issue is of particular interest from the side of the country's authorities since tourism is a strategic sector to promote national and regional convergence. The study's findings suggest that tourism has contributed to the concentration of economic activity in the largest region of the country and to reduce the gap between the second and the third largest regions. Some regions benefit more from tourism located in other regions than tourism located in each region and tourism in all regions generate positive effects on the country's economic performance.", "author" : [ { "dropping-particle" : "", "family" : "Andraz", "given" : "Jorge M.", "non-dropping-particle" : "", "parse-names" : false, "suffix" : "" }, { "dropping-particle" : "", "family" : "Norte", "given" : "N\u00e9lia M.", "non-dropping-particle" : "", "parse-names" : false, "suffix" : "" }, { "dropping-particle" : "", "family" : "Gon\u00e7alves", "given" : "Hugo S.", "non-dropping-particle" : "", "parse-names" : false, "suffix" : "" } ], "container-title" : "Tourism Management", "id" : "ITEM-1", "issued" : { "date-parts" : [ [ "2015" ] ] }, "page" : "257-267", "title" : "Effects of tourism on regional asymmetries: Empirical evidence for Portugal", "type" : "article-journal", "volume" : "50" }, "uris" : [ "http://www.mendeley.com/documents/?uuid=8bc84730-2b1c-49a5-8438-54382544e637" ] } ], "mendeley" : { "formattedCitation" : "(Andraz, Norte, &amp; Gon\u00e7alves, 2015)", "manualFormatting" : "Andraz, Norte, y Gon\u00e7alves, 2015", "plainTextFormattedCitation" : "(Andraz, Norte, &amp; Gon\u00e7alves, 2015)", "previouslyFormattedCitation" : "(Andraz, Norte, &amp; Gon\u00e7alves, 2015)" }, "properties" : { "noteIndex" : 0 }, "schema" : "https://github.com/citation-style-language/schema/raw/master/csl-citation.json" }</w:instrText>
      </w:r>
      <w:r w:rsidRPr="004A0D77">
        <w:rPr>
          <w:color w:val="000000" w:themeColor="text1"/>
          <w:lang w:val="es-ES"/>
        </w:rPr>
        <w:fldChar w:fldCharType="separate"/>
      </w:r>
      <w:r w:rsidRPr="004A0D77">
        <w:rPr>
          <w:noProof/>
          <w:color w:val="000000" w:themeColor="text1"/>
          <w:lang w:val="es-ES"/>
        </w:rPr>
        <w:t>Andraz, Norte, y Gonçalves, 2015</w:t>
      </w:r>
      <w:r w:rsidRPr="004A0D77">
        <w:rPr>
          <w:color w:val="000000" w:themeColor="text1"/>
          <w:lang w:val="es-ES"/>
        </w:rPr>
        <w:fldChar w:fldCharType="end"/>
      </w:r>
      <w:r w:rsidRPr="004A0D77">
        <w:rPr>
          <w:color w:val="000000" w:themeColor="text1"/>
          <w:lang w:val="es-ES"/>
        </w:rPr>
        <w:t xml:space="preserve">; </w:t>
      </w:r>
      <w:r w:rsidRPr="004A0D77">
        <w:rPr>
          <w:color w:val="000000" w:themeColor="text1"/>
          <w:lang w:val="es-ES"/>
        </w:rPr>
        <w:fldChar w:fldCharType="begin" w:fldLock="1"/>
      </w:r>
      <w:r w:rsidRPr="004A0D77">
        <w:rPr>
          <w:color w:val="000000" w:themeColor="text1"/>
          <w:lang w:val="es-ES"/>
        </w:rPr>
        <w:instrText>ADDIN CSL_CITATION { "citationItems" : [ { "id" : "ITEM-1", "itemData" : { "DOI" : "10.1016/j.sbspro.2014.10.217", "ISBN" : "1877-0428", "ISSN" : "1877-0428", "abstract" : "The paper discusses the resiliency of the rural communities in Malaysia with the help of the sustainability planning in rural tourism. It covers the rural sustainable development background, the community resiliency elements and the role of the local government. The methodology includes site observation and extensive literature reviews. The findings of the research suggest that a sustainable tourism development in rural area will contribute to an improved resiliency within the local community. Some strategies are needed to ensure the sustainable development or rural tourism and to sustain the local community resiliency.", "author" : [ { "dropping-particle" : "", "family" : "Amir", "given" : "Ahmad Fitri", "non-dropping-particle" : "", "parse-names" : false, "suffix" : "" }, { "dropping-particle" : "", "family" : "Ghapar", "given" : "Ammar Abd", "non-dropping-particle" : "", "parse-names" : false, "suffix" : "" }, { "dropping-particle" : "", "family" : "Jamal", "given" : "Salamiah A", "non-dropping-particle" : "", "parse-names" : false, "suffix" : "" }, { "dropping-particle" : "", "family" : "Ahmad", "given" : "Khairun Najiah", "non-dropping-particle" : "", "parse-names" : false, "suffix" : "" } ], "container-title" : "Procedia - Social and Behavioral Sciences", "id" : "ITEM-1", "issued" : { "date-parts" : [ [ "2015" ] ] }, "page" : "116-122", "publisher" : "Elsevier B.V.", "title" : "Sustainable tourism development: A study on community resilience for rural tourism in Malaysia", "type" : "article-journal", "volume" : "168" }, "uris" : [ "http://www.mendeley.com/documents/?uuid=75fb3a07-1d6e-4da4-8ff6-6a09a8484fdb" ] } ], "mendeley" : { "formattedCitation" : "(Amir, Ghapar, Jamal, &amp; Ahmad, 2015)", "manualFormatting" : "Amir, Ghapar, Jamal, y Ahmad, 2015", "plainTextFormattedCitation" : "(Amir, Ghapar, Jamal, &amp; Ahmad, 2015)", "previouslyFormattedCitation" : "(Amir, Ghapar, Jamal, &amp; Ahmad, 2015)" }, "properties" : { "noteIndex" : 0 }, "schema" : "https://github.com/citation-style-language/schema/raw/master/csl-citation.json" }</w:instrText>
      </w:r>
      <w:r w:rsidRPr="004A0D77">
        <w:rPr>
          <w:color w:val="000000" w:themeColor="text1"/>
          <w:lang w:val="es-ES"/>
        </w:rPr>
        <w:fldChar w:fldCharType="separate"/>
      </w:r>
      <w:r w:rsidRPr="004A0D77">
        <w:rPr>
          <w:noProof/>
          <w:color w:val="000000" w:themeColor="text1"/>
          <w:lang w:val="es-ES"/>
        </w:rPr>
        <w:t>Amir, Ghapar, Jamal, y Ahmad, 2015</w:t>
      </w:r>
      <w:r w:rsidRPr="004A0D77">
        <w:rPr>
          <w:color w:val="000000" w:themeColor="text1"/>
          <w:lang w:val="es-ES"/>
        </w:rPr>
        <w:fldChar w:fldCharType="end"/>
      </w:r>
      <w:r w:rsidRPr="004A0D77">
        <w:rPr>
          <w:color w:val="000000" w:themeColor="text1"/>
          <w:lang w:val="es-ES"/>
        </w:rPr>
        <w:t xml:space="preserve">; </w:t>
      </w:r>
      <w:r w:rsidRPr="004A0D77">
        <w:rPr>
          <w:color w:val="000000" w:themeColor="text1"/>
          <w:lang w:val="es-ES"/>
        </w:rPr>
        <w:fldChar w:fldCharType="begin" w:fldLock="1"/>
      </w:r>
      <w:r w:rsidRPr="004A0D77">
        <w:rPr>
          <w:color w:val="000000" w:themeColor="text1"/>
          <w:lang w:val="es-ES"/>
        </w:rPr>
        <w:instrText>ADDIN CSL_CITATION { "citationItems" : [ { "id" : "ITEM-1", "itemData" : { "DOI" : "10.1016/j.sumneg.2015.08.005", "ISSN" : "2215910X", "abstract" : "This paper aims to provide the key elements of the Colombian tourism policy over the last decade. This policy was initiated at the same time as the policy of democratic security, where through a stronger presence of the security institutions it was intended to create a favorable environment for investment and tourism. In this sense, receptive tourism policy in Colombia is directed at improving competitiveness indicators based on use of the advantages of opportunity of the country. This paper focuses on instruments of tourism policy, particularly in regard to the Colombian receptive tourism services, exploring its impact on the competitiveness of the sector and its future impact.", "author" : [ { "dropping-particle" : "", "family" : "Benavides", "given" : "Giovanny Fernando", "non-dropping-particle" : "", "parse-names" : false, "suffix" : "" } ], "container-title" : "Suma de Negocios", "id" : "ITEM-1", "issue" : "13", "issued" : { "date-parts" : [ [ "2015" ] ] }, "page" : "66-73", "publisher" : "Fundaci\u00f3n Universitaria Konrad Lorenz", "title" : "Las pol\u00edticas p\u00fablicas del turismo receptivo colombiano", "type" : "article-journal", "volume" : "6" }, "uris" : [ "http://www.mendeley.com/documents/?uuid=bf611665-b70f-4940-9db8-8493526f3ad9" ] } ], "mendeley" : { "formattedCitation" : "(Benavides, 2015)", "manualFormatting" : "Benavides, 201", "plainTextFormattedCitation" : "(Benavides, 2015)", "previouslyFormattedCitation" : "(Benavides, 2015)" }, "properties" : { "noteIndex" : 0 }, "schema" : "https://github.com/citation-style-language/schema/raw/master/csl-citation.json" }</w:instrText>
      </w:r>
      <w:r w:rsidRPr="004A0D77">
        <w:rPr>
          <w:color w:val="000000" w:themeColor="text1"/>
          <w:lang w:val="es-ES"/>
        </w:rPr>
        <w:fldChar w:fldCharType="separate"/>
      </w:r>
      <w:r w:rsidRPr="004A0D77">
        <w:rPr>
          <w:noProof/>
          <w:color w:val="000000" w:themeColor="text1"/>
          <w:lang w:val="es-ES"/>
        </w:rPr>
        <w:t>Benavides, 201</w:t>
      </w:r>
      <w:r w:rsidRPr="004A0D77">
        <w:rPr>
          <w:color w:val="000000" w:themeColor="text1"/>
          <w:lang w:val="es-ES"/>
        </w:rPr>
        <w:fldChar w:fldCharType="end"/>
      </w:r>
      <w:r w:rsidRPr="004A0D77">
        <w:rPr>
          <w:color w:val="000000" w:themeColor="text1"/>
          <w:lang w:val="es-ES"/>
        </w:rPr>
        <w:t xml:space="preserve">1; </w:t>
      </w:r>
      <w:r w:rsidRPr="004A0D77">
        <w:rPr>
          <w:color w:val="000000" w:themeColor="text1"/>
          <w:lang w:val="es-ES"/>
        </w:rPr>
        <w:lastRenderedPageBreak/>
        <w:fldChar w:fldCharType="begin" w:fldLock="1"/>
      </w:r>
      <w:r w:rsidRPr="004A0D77">
        <w:rPr>
          <w:color w:val="000000" w:themeColor="text1"/>
          <w:lang w:val="es-ES"/>
        </w:rPr>
        <w:instrText>ADDIN CSL_CITATION { "citationItems" : [ { "id" : "ITEM-1", "itemData" : { "abstract" : "An examination of the lives of two Highland Maya craftswomen of Chiapas, Mexico, illustrates how they have responded to opportunities created by tourism-new markets as we11 as possibilities for encountering outsiders. In their relationships with tourists, both women have followed similar paths in transforming the traditional patron-client role to conform with a modern form of expressive friendship. On the other hand, the differing constraints of their crafts- ceramics and weaving-in conjunction with the nature of their ties to their communities have led them to construct images of themselves that diverge substantially with regard to culturai identification. Keywords: indigenous people, Maya, Mexico, ethnicity, women, identity, crafr production", "author" : [ { "dropping-particle" : "", "family" : "Abbott", "given" : "Cynthia", "non-dropping-particle" : "", "parse-names" : false, "suffix" : "" } ], "id" : "ITEM-1", "issue" : "2", "issued" : { "date-parts" : [ [ "1995" ] ] }, "page" : "314-327", "title" : "The Lives of Two Mayan Women", "type" : "article-journal", "volume" : "22" }, "uris" : [ "http://www.mendeley.com/documents/?uuid=0bf8093a-2495-4152-b9b8-e064f588192a" ] } ], "mendeley" : { "formattedCitation" : "(Abbott, 1995)", "manualFormatting" : "Abbott, 1995", "plainTextFormattedCitation" : "(Abbott, 1995)", "previouslyFormattedCitation" : "(Abbott, 1995)" }, "properties" : { "noteIndex" : 0 }, "schema" : "https://github.com/citation-style-language/schema/raw/master/csl-citation.json" }</w:instrText>
      </w:r>
      <w:r w:rsidRPr="004A0D77">
        <w:rPr>
          <w:color w:val="000000" w:themeColor="text1"/>
          <w:lang w:val="es-ES"/>
        </w:rPr>
        <w:fldChar w:fldCharType="separate"/>
      </w:r>
      <w:r w:rsidRPr="004A0D77">
        <w:rPr>
          <w:noProof/>
          <w:color w:val="000000" w:themeColor="text1"/>
          <w:lang w:val="es-ES"/>
        </w:rPr>
        <w:t>Abbott, 1995</w:t>
      </w:r>
      <w:r w:rsidRPr="004A0D77">
        <w:rPr>
          <w:color w:val="000000" w:themeColor="text1"/>
          <w:lang w:val="es-ES"/>
        </w:rPr>
        <w:fldChar w:fldCharType="end"/>
      </w:r>
      <w:r w:rsidRPr="004A0D77">
        <w:rPr>
          <w:color w:val="000000" w:themeColor="text1"/>
          <w:lang w:val="es-ES"/>
        </w:rPr>
        <w:t xml:space="preserve">; </w:t>
      </w:r>
      <w:r w:rsidRPr="004A0D77">
        <w:rPr>
          <w:color w:val="000000" w:themeColor="text1"/>
          <w:lang w:val="es-ES"/>
        </w:rPr>
        <w:fldChar w:fldCharType="begin" w:fldLock="1"/>
      </w:r>
      <w:r w:rsidRPr="004A0D77">
        <w:rPr>
          <w:color w:val="000000" w:themeColor="text1"/>
          <w:lang w:val="es-ES"/>
        </w:rPr>
        <w:instrText>ADDIN CSL_CITATION { "citationItems" : [ { "id" : "ITEM-1", "itemData" : { "DOI" : "10.1016/j.tourman.2008.12.013", "ISBN" : "0261-5177", "ISSN" : "02615177", "abstract" : "This study examines the causal relationship between tourism expansion and economic growth in two Asian countries: Taiwan and South Korea. An EGARCH-M model with uncertainty factors is employed to examine the direction of causality between tourism expansion and economic growth, as well as the impulse impacts of uncertainty on both variables. The results indicate that the tourism-led economic growth hypothesis is supported for Taiwan while a reciprocal causal relationship is found for South Korea. The significant impacts of uncertainty on growth are also identified. \u00a9 2009 Elsevier Ltd. All rights reserved.", "author" : [ { "dropping-particle" : "", "family" : "Chen", "given" : "Ching Fu", "non-dropping-particle" : "", "parse-names" : false, "suffix" : "" }, { "dropping-particle" : "", "family" : "Chiou-Wei", "given" : "Song Zan", "non-dropping-particle" : "", "parse-names" : false, "suffix" : "" } ], "container-title" : "Tourism Management", "id" : "ITEM-1", "issue" : "6", "issued" : { "date-parts" : [ [ "2009" ] ] }, "page" : "812-818", "publisher" : "Elsevier Ltd", "title" : "Tourism expansion, tourism uncertainty and economic growth: New evidence from Taiwan and Korea", "type" : "article-journal", "volume" : "30" }, "uris" : [ "http://www.mendeley.com/documents/?uuid=b3dddf85-20cf-42cc-8c7d-c97d743da186" ] } ], "mendeley" : { "formattedCitation" : "(Chen &amp; Chiou-Wei, 2009)", "manualFormatting" : "(Chen y Chiou-Wei, 2009)", "plainTextFormattedCitation" : "(Chen &amp; Chiou-Wei, 2009)", "previouslyFormattedCitation" : "(Chen &amp; Chiou-Wei, 2009)" }, "properties" : { "noteIndex" : 0 }, "schema" : "https://github.com/citation-style-language/schema/raw/master/csl-citation.json" }</w:instrText>
      </w:r>
      <w:r w:rsidRPr="004A0D77">
        <w:rPr>
          <w:color w:val="000000" w:themeColor="text1"/>
          <w:lang w:val="es-ES"/>
        </w:rPr>
        <w:fldChar w:fldCharType="separate"/>
      </w:r>
      <w:r w:rsidRPr="004A0D77">
        <w:rPr>
          <w:noProof/>
          <w:color w:val="000000" w:themeColor="text1"/>
          <w:lang w:val="es-ES"/>
        </w:rPr>
        <w:t>(Chen y Chiou-Wei, 2009)</w:t>
      </w:r>
      <w:r w:rsidRPr="004A0D77">
        <w:rPr>
          <w:color w:val="000000" w:themeColor="text1"/>
          <w:lang w:val="es-ES"/>
        </w:rPr>
        <w:fldChar w:fldCharType="end"/>
      </w:r>
      <w:r w:rsidRPr="004A0D77">
        <w:rPr>
          <w:color w:val="000000" w:themeColor="text1"/>
          <w:lang w:val="es-ES"/>
        </w:rPr>
        <w:t xml:space="preserve"> para países, regiones y localidades toda vez que en el  desarrollo del proceso turístico existe la generación de oportunidades de trabajo, eliminar las pobrezas de la comunidades involucradas y mejoramiento de la calidad de vida de cada actor que convive en el entorno donde se desarrolla tal actividad, en algunos casos con la implementación de políticas publicas como medio para impulsar y preservar la etnicidad </w:t>
      </w:r>
      <w:r w:rsidRPr="004A0D77">
        <w:rPr>
          <w:color w:val="000000" w:themeColor="text1"/>
          <w:lang w:val="es-ES"/>
        </w:rPr>
        <w:fldChar w:fldCharType="begin" w:fldLock="1"/>
      </w:r>
      <w:r w:rsidRPr="004A0D77">
        <w:rPr>
          <w:color w:val="000000" w:themeColor="text1"/>
          <w:lang w:val="es-ES"/>
        </w:rPr>
        <w:instrText>ADDIN CSL_CITATION { "citationItems" : [ { "id" : "ITEM-1", "itemData" : { "DOI" : "10.1016/j.annals.2015.11.008", "ISSN" : "01607383", "abstract" : "This article analyzes the diverse-and often divergent-state conceptions of the role of indigenous tourism at the regional and state levels in the Araucan\u00eda Region of Chile, the historical territory of the Mapuche indigenous people. The article presents the context in which indigenous tourism developed, using an ethnographic approach to examine state discourses and analyzing the different positions of key public employees with respect to the development of Mapuche tourism. It seeks to identify the views and to link them to the political context of Mapuche territorial claims in some sectors of the Araucan\u00eda Region. The discussion helps to explain the relationship between identity construction processes and the concept of authenticity promoted by the state itself.", "author" : [ { "dropping-particle" : "", "family" : "la Maza", "given" : "Francisca", "non-dropping-particle" : "De", "parse-names" : false, "suffix" : "" } ], "container-title" : "Annals of Tourism Research", "id" : "ITEM-1", "issued" : { "date-parts" : [ [ "2016" ] ] }, "page" : "80-95", "publisher" : "Elsevier Ltd", "title" : "State conceptions of indigenous tourism in Chile", "type" : "article-journal", "volume" : "56" }, "uris" : [ "http://www.mendeley.com/documents/?uuid=fd0c8357-b268-46fd-a7a8-cbe180184ade" ] } ], "mendeley" : { "formattedCitation" : "(De la Maza, 2016)", "plainTextFormattedCitation" : "(De la Maza, 2016)", "previouslyFormattedCitation" : "(De la Maza, 2016)" }, "properties" : { "noteIndex" : 0 }, "schema" : "https://github.com/citation-style-language/schema/raw/master/csl-citation.json" }</w:instrText>
      </w:r>
      <w:r w:rsidRPr="004A0D77">
        <w:rPr>
          <w:color w:val="000000" w:themeColor="text1"/>
          <w:lang w:val="es-ES"/>
        </w:rPr>
        <w:fldChar w:fldCharType="separate"/>
      </w:r>
      <w:r w:rsidRPr="004A0D77">
        <w:rPr>
          <w:noProof/>
          <w:color w:val="000000" w:themeColor="text1"/>
          <w:lang w:val="es-ES"/>
        </w:rPr>
        <w:t>(De la Maza, 2016)</w:t>
      </w:r>
      <w:r w:rsidRPr="004A0D77">
        <w:rPr>
          <w:color w:val="000000" w:themeColor="text1"/>
          <w:lang w:val="es-ES"/>
        </w:rPr>
        <w:fldChar w:fldCharType="end"/>
      </w:r>
      <w:r w:rsidRPr="004A0D77">
        <w:rPr>
          <w:color w:val="000000" w:themeColor="text1"/>
          <w:lang w:val="es-ES"/>
        </w:rPr>
        <w:t xml:space="preserve"> </w:t>
      </w:r>
    </w:p>
    <w:p w14:paraId="328529DC" w14:textId="77777777" w:rsidR="00DD67A5" w:rsidRPr="004A0D77" w:rsidRDefault="00DD67A5" w:rsidP="001803FB">
      <w:pPr>
        <w:spacing w:line="360" w:lineRule="auto"/>
        <w:jc w:val="both"/>
        <w:rPr>
          <w:color w:val="000000" w:themeColor="text1"/>
          <w:lang w:val="es-ES"/>
        </w:rPr>
      </w:pPr>
    </w:p>
    <w:p w14:paraId="232B3729" w14:textId="404B89F8" w:rsidR="001803FB" w:rsidRPr="004A0D77" w:rsidRDefault="001803FB" w:rsidP="001803FB">
      <w:pPr>
        <w:spacing w:line="360" w:lineRule="auto"/>
        <w:jc w:val="both"/>
        <w:rPr>
          <w:color w:val="000000" w:themeColor="text1"/>
          <w:lang w:val="es-ES"/>
        </w:rPr>
      </w:pPr>
      <w:r w:rsidRPr="004A0D77">
        <w:rPr>
          <w:color w:val="000000" w:themeColor="text1"/>
          <w:lang w:val="es-ES"/>
        </w:rPr>
        <w:t xml:space="preserve">A pesar de ser el turismo una actividad milenaria, recientemente se ha tomado como elemento de estudio científico, notando considerables avances en cuanto a su avances significativos en el desarrollo del  conocimientos o como actividad académica </w:t>
      </w:r>
      <w:r w:rsidRPr="004A0D77">
        <w:rPr>
          <w:color w:val="000000" w:themeColor="text1"/>
          <w:lang w:val="es-ES"/>
        </w:rPr>
        <w:fldChar w:fldCharType="begin" w:fldLock="1"/>
      </w:r>
      <w:r w:rsidRPr="004A0D77">
        <w:rPr>
          <w:color w:val="000000" w:themeColor="text1"/>
          <w:lang w:val="es-ES"/>
        </w:rPr>
        <w:instrText>ADDIN CSL_CITATION { "citationItems" : [ { "id" : "ITEM-1", "itemData" : { "DOI" : "10.1016/j.annals.2014.12.002", "ISSN" : "01607383", "abstract" : "This paper critically explores decolonial theory and its relevance for tourism studies. We suggest that while postcolonial and related critical theoretical perspectives furthered understandings of the consequences of colonisation, such critical theorising has not provided an epistemological perspective of tourism which legitimises the cosmologies of, and actively empowers, traditionally marginalised groupings. We review published tourism research which adopts critical and postcolonial perspectives, and argue that while these have been valuable in terms of exposing the existence and effects of dominant discourses and practices in tourism, their emancipatory objectives are limited because tourism knowledge is still predominantly colonial. Epistemological decolonisation is thus presented as a more radical project which can provide an 'other' way of thinking, being and knowing about tourism.", "author" : [ { "dropping-particle" : "", "family" : "Chambers", "given" : "Donna", "non-dropping-particle" : "", "parse-names" : false, "suffix" : "" }, { "dropping-particle" : "", "family" : "Buzinde", "given" : "Christine", "non-dropping-particle" : "", "parse-names" : false, "suffix" : "" } ], "container-title" : "Annals of Tourism Research", "id" : "ITEM-1", "issued" : { "date-parts" : [ [ "2015" ] ] }, "page" : "1-16", "publisher" : "Elsevier Ltd", "title" : "Tourism and decolonisation: Locating research and self", "type" : "article-journal", "volume" : "51" }, "uris" : [ "http://www.mendeley.com/documents/?uuid=0d58d1cb-3e6e-412b-bb84-120aa5fa7740" ] } ], "mendeley" : { "formattedCitation" : "(Chambers &amp; Buzinde, 2015)", "manualFormatting" : "(Chambers y Buzinde, 2015)", "plainTextFormattedCitation" : "(Chambers &amp; Buzinde, 2015)", "previouslyFormattedCitation" : "(Chambers &amp; Buzinde, 2015)" }, "properties" : { "noteIndex" : 0 }, "schema" : "https://github.com/citation-style-language/schema/raw/master/csl-citation.json" }</w:instrText>
      </w:r>
      <w:r w:rsidRPr="004A0D77">
        <w:rPr>
          <w:color w:val="000000" w:themeColor="text1"/>
          <w:lang w:val="es-ES"/>
        </w:rPr>
        <w:fldChar w:fldCharType="separate"/>
      </w:r>
      <w:r w:rsidRPr="004A0D77">
        <w:rPr>
          <w:noProof/>
          <w:color w:val="000000" w:themeColor="text1"/>
          <w:lang w:val="es-ES"/>
        </w:rPr>
        <w:t>(Chambers y Buzinde, 2015)</w:t>
      </w:r>
      <w:r w:rsidRPr="004A0D77">
        <w:rPr>
          <w:color w:val="000000" w:themeColor="text1"/>
          <w:lang w:val="es-ES"/>
        </w:rPr>
        <w:fldChar w:fldCharType="end"/>
      </w:r>
      <w:r w:rsidRPr="004A0D77">
        <w:rPr>
          <w:color w:val="000000" w:themeColor="text1"/>
          <w:lang w:val="es-ES"/>
        </w:rPr>
        <w:t xml:space="preserve">. La  literatura existente se ha centrado básicamente en en el crecimiento económico como lo son  la generación de oportunidades laborales y el aumento de ingresos, dejando por un lado las tasas de pobreza o cambios en las desigualdades regionales </w:t>
      </w:r>
      <w:r w:rsidRPr="004A0D77">
        <w:rPr>
          <w:color w:val="000000" w:themeColor="text1"/>
          <w:lang w:val="es-ES"/>
        </w:rPr>
        <w:fldChar w:fldCharType="begin" w:fldLock="1"/>
      </w:r>
      <w:r w:rsidRPr="004A0D77">
        <w:rPr>
          <w:color w:val="000000" w:themeColor="text1"/>
          <w:lang w:val="es-ES"/>
        </w:rPr>
        <w:instrText>ADDIN CSL_CITATION { "citationItems" : [ { "id" : "ITEM-1", "itemData" : { "DOI" : "10.1016/j.annals.2016.02.001", "ISSN" : "01607383", "abstract" : "This study examines the role of tourism development in reducing regional income inequality in China. First, the theoretical foundation for how tourism affects regional income inequality is discussed. Second, based on the conditional convergence framework, this study proposes a spatiotemporal autoregressive model to capture spatial and temporal dependence as well as spatial heterogeneity. Tourism development is introduced as a conditional convergence factor in an attempt to examine whether the convergence speed is accelerated by regional tourism development. Third, the effects of international and domestic tourism in narrowing regional inequality are compared both globally and locally. The empirical results indicate that tourism development contributes significantly to the reduction of regional inequality, with domestic tourism making a greater contribution than international tourism.", "author" : [ { "dropping-particle" : "", "family" : "Li", "given" : "Hengyun", "non-dropping-particle" : "", "parse-names" : false, "suffix" : "" }, { "dropping-particle" : "", "family" : "Chen", "given" : "Jason Li", "non-dropping-particle" : "", "parse-names" : false, "suffix" : "" }, { "dropping-particle" : "", "family" : "Li", "given" : "Gang", "non-dropping-particle" : "", "parse-names" : false, "suffix" : "" }, { "dropping-particle" : "", "family" : "Goh", "given" : "Carey", "non-dropping-particle" : "", "parse-names" : false, "suffix" : "" } ], "container-title" : "Annals of Tourism Research", "id" : "ITEM-1", "issued" : { "date-parts" : [ [ "2016" ] ] }, "page" : "81-99", "publisher" : "Elsevier Ltd", "title" : "Tourism and regional income inequality: Evidence from China", "type" : "article-journal", "volume" : "58" }, "uris" : [ "http://www.mendeley.com/documents/?uuid=bbdd8055-0c4c-4c61-a24b-83ff9bcd6f38" ] } ], "mendeley" : { "formattedCitation" : "(Li, Chen, Li, &amp; Goh, 2016)", "manualFormatting" : "(Li, Chen, Li, y Goh, 2016)", "plainTextFormattedCitation" : "(Li, Chen, Li, &amp; Goh, 2016)", "previouslyFormattedCitation" : "(Li, Chen, Li, &amp; Goh, 2016)" }, "properties" : { "noteIndex" : 0 }, "schema" : "https://github.com/citation-style-language/schema/raw/master/csl-citation.json" }</w:instrText>
      </w:r>
      <w:r w:rsidRPr="004A0D77">
        <w:rPr>
          <w:color w:val="000000" w:themeColor="text1"/>
          <w:lang w:val="es-ES"/>
        </w:rPr>
        <w:fldChar w:fldCharType="separate"/>
      </w:r>
      <w:r w:rsidRPr="004A0D77">
        <w:rPr>
          <w:noProof/>
          <w:color w:val="000000" w:themeColor="text1"/>
          <w:lang w:val="es-ES"/>
        </w:rPr>
        <w:t>(Li, Chen, Li, y Goh, 2016)</w:t>
      </w:r>
      <w:r w:rsidRPr="004A0D77">
        <w:rPr>
          <w:color w:val="000000" w:themeColor="text1"/>
          <w:lang w:val="es-ES"/>
        </w:rPr>
        <w:fldChar w:fldCharType="end"/>
      </w:r>
      <w:r w:rsidRPr="004A0D77">
        <w:rPr>
          <w:color w:val="000000" w:themeColor="text1"/>
          <w:lang w:val="es-ES"/>
        </w:rPr>
        <w:t xml:space="preserve">. Este temprano interés ha traído consigo múltiples denominaciones que son especialmente llamadas en correspondencia a la comunidades receptoras y el entorno socio cultural en donde se desenvuelven. </w:t>
      </w:r>
    </w:p>
    <w:p w14:paraId="4BEFE414" w14:textId="77777777" w:rsidR="001803FB" w:rsidRPr="004A0D77" w:rsidRDefault="001803FB" w:rsidP="001803FB">
      <w:pPr>
        <w:spacing w:line="276" w:lineRule="auto"/>
        <w:jc w:val="both"/>
        <w:rPr>
          <w:color w:val="000000" w:themeColor="text1"/>
          <w:lang w:val="es-ES"/>
        </w:rPr>
      </w:pPr>
    </w:p>
    <w:p w14:paraId="7FAE12D4" w14:textId="4179B33E" w:rsidR="001803FB" w:rsidRPr="004A0D77" w:rsidRDefault="001803FB" w:rsidP="000C1055">
      <w:pPr>
        <w:widowControl w:val="0"/>
        <w:autoSpaceDE w:val="0"/>
        <w:autoSpaceDN w:val="0"/>
        <w:adjustRightInd w:val="0"/>
        <w:spacing w:after="240" w:line="360" w:lineRule="auto"/>
        <w:jc w:val="both"/>
        <w:rPr>
          <w:color w:val="000000" w:themeColor="text1"/>
          <w:lang w:val="es-ES"/>
        </w:rPr>
      </w:pPr>
      <w:r w:rsidRPr="004A0D77">
        <w:rPr>
          <w:color w:val="000000" w:themeColor="text1"/>
          <w:lang w:val="es-ES"/>
        </w:rPr>
        <w:t xml:space="preserve">El turismo como actividad económica está llamado a ser un instrumento que impulse de forma equitativa el desarrollo de las regiones y minimice de alguna manera los niveles de desigualdad social entre comunidades. Sobre este criterio, el turismo tiene la potencialidad para ser seleccionadas como la industria líder en muchas áreas periféricas, con la esperanza de reducir la disparidad económica territorial </w:t>
      </w:r>
      <w:r w:rsidRPr="004A0D77">
        <w:rPr>
          <w:color w:val="000000" w:themeColor="text1"/>
          <w:lang w:val="es-ES"/>
        </w:rPr>
        <w:fldChar w:fldCharType="begin" w:fldLock="1"/>
      </w:r>
      <w:r w:rsidRPr="004A0D77">
        <w:rPr>
          <w:color w:val="000000" w:themeColor="text1"/>
          <w:lang w:val="es-ES"/>
        </w:rPr>
        <w:instrText>ADDIN CSL_CITATION { "citationItems" : [ { "id" : "ITEM-1", "itemData" : { "DOI" : "10.1016/j.tourman.2004.08.004", "ISBN" : "0261-5177", "ISSN" : "02615177", "abstract" : "It is argued that tourism planning should be about planning for residents as well as for visitors. If tourism is to be a positive force in the lives of local residents, it is contingent upon local response, involvement and support. Many tourism plans for developing area destinations give inadequate attention to human resources development. Furthermore, many tourism plans espouse forms of tourism that do not fit well with existing human resources capabilities so that local people find it difficult to participate in tourism and, in consequence, benefit less than might otherwise be the case. Human resources development often focuses on the employment needs of large international companies, especially in hospitality, to the neglect of the employment requirements and opportunities in tourism more broadly conceived. In an attempt to expand perspectives on human resources development in tourism planning, a policy-industry-locality framework is proposed together with associated research questions and data requirements. ?? 2004 Elsevier Ltd. All rights reserved.", "author" : [ { "dropping-particle" : "", "family" : "Liu", "given" : "Abby", "non-dropping-particle" : "", "parse-names" : false, "suffix" : "" }, { "dropping-particle" : "", "family" : "Wall", "given" : "Geoffrey", "non-dropping-particle" : "", "parse-names" : false, "suffix" : "" } ], "container-title" : "Tourism Management", "id" : "ITEM-1", "issue" : "1", "issued" : { "date-parts" : [ [ "2006" ] ] }, "page" : "159-170", "title" : "Planning tourism employment: A developing country perspective", "type" : "article-journal", "volume" : "27" }, "uris" : [ "http://www.mendeley.com/documents/?uuid=60fefe0f-95a6-4852-a6d6-d1889e19f6e5" ] } ], "mendeley" : { "formattedCitation" : "(Liu &amp; Wall, 2006)", "manualFormatting" : "(Liu y Wall, 2006)", "plainTextFormattedCitation" : "(Liu &amp; Wall, 2006)", "previouslyFormattedCitation" : "(Liu &amp; Wall, 2006)" }, "properties" : { "noteIndex" : 0 }, "schema" : "https://github.com/citation-style-language/schema/raw/master/csl-citation.json" }</w:instrText>
      </w:r>
      <w:r w:rsidRPr="004A0D77">
        <w:rPr>
          <w:color w:val="000000" w:themeColor="text1"/>
          <w:lang w:val="es-ES"/>
        </w:rPr>
        <w:fldChar w:fldCharType="separate"/>
      </w:r>
      <w:r w:rsidRPr="004A0D77">
        <w:rPr>
          <w:noProof/>
          <w:color w:val="000000" w:themeColor="text1"/>
          <w:lang w:val="es-ES"/>
        </w:rPr>
        <w:t>(Liu y Wall, 2006)</w:t>
      </w:r>
      <w:r w:rsidRPr="004A0D77">
        <w:rPr>
          <w:color w:val="000000" w:themeColor="text1"/>
          <w:lang w:val="es-ES"/>
        </w:rPr>
        <w:fldChar w:fldCharType="end"/>
      </w:r>
      <w:r w:rsidRPr="004A0D77">
        <w:rPr>
          <w:color w:val="000000" w:themeColor="text1"/>
          <w:lang w:val="es-ES"/>
        </w:rPr>
        <w:t>. Sin embargo muchos actores dejan entre dicho la naturaleza de este principio y colocan en entre dicho la calidad y desarrollo generado por esta actividad (Li et al., 2016)</w:t>
      </w:r>
    </w:p>
    <w:p w14:paraId="54154ED8" w14:textId="77777777" w:rsidR="001803FB" w:rsidRPr="004A0D77" w:rsidRDefault="001803FB" w:rsidP="001803FB">
      <w:pPr>
        <w:widowControl w:val="0"/>
        <w:autoSpaceDE w:val="0"/>
        <w:autoSpaceDN w:val="0"/>
        <w:adjustRightInd w:val="0"/>
        <w:spacing w:after="240" w:line="360" w:lineRule="auto"/>
        <w:jc w:val="both"/>
        <w:rPr>
          <w:color w:val="000000" w:themeColor="text1"/>
          <w:lang w:val="es-ES"/>
        </w:rPr>
      </w:pPr>
      <w:r w:rsidRPr="004A0D77">
        <w:rPr>
          <w:color w:val="000000" w:themeColor="text1"/>
          <w:lang w:val="es-ES"/>
        </w:rPr>
        <w:t xml:space="preserve">El turismo étnico es conocido como todas aquellas actividades turísticas, donde la participación de los pueblos indígenas están directamente involucrados en  su cotidianidad  o bien porque su cultura constituye la esencia de la atracción. Al respecto </w:t>
      </w:r>
      <w:r w:rsidRPr="004A0D77">
        <w:rPr>
          <w:color w:val="000000" w:themeColor="text1"/>
          <w:lang w:val="es-ES"/>
        </w:rPr>
        <w:fldChar w:fldCharType="begin" w:fldLock="1"/>
      </w:r>
      <w:r w:rsidRPr="004A0D77">
        <w:rPr>
          <w:color w:val="000000" w:themeColor="text1"/>
          <w:lang w:val="es-ES"/>
        </w:rPr>
        <w:instrText>ADDIN CSL_CITATION { "citationItems" : [ { "id" : "ITEM-1", "itemData" : { "DOI" : "10.5209/rev_REAA.2013.v43.n1.42308", "ISBN" : "1040359019", "ISSN" : "0556-6533", "abstract" : "RESUMEN En nuestro texto analizamos las perspectivas de los efectos del turismo sobre las comunidades ind\u00edgenas de Am\u00e9rica Latina o Abya Yala. Para ello partimos de sus debates acad\u00e9micos y de nuestra experiencia de investigaci\u00f3n con el turismo ind\u00edgena kuna (Panam\u00e1). Ello puede contribuir a una mejor comprensi\u00f3n de un nuevo tiempo en el que los turistas buscan cada vez m\u00e1s al otro y una relaci\u00f3n m\u00e1s intensa con la cultura y la naturaleza para repensar su lugar en el mundo. En el texto, y por motivos de espacio, no analizamos los efectos del turismo ind\u00edgena sobre los turistas y otros agentes sociales que intervienen en el sistema tur\u00edstico. Palabras clave: antropolog\u00eda, turismo ind\u00edgena, Am\u00e9rica Latina The Effects of Tourism on the Indigenous Cultures of Latin America ABSTRACT In my report, I have analysed the prospects of the effects of tourism on indigenous communities in Latin Ame-rica or Abya Yala. In order to do this, I started from their academic discussions and my research experience with the Kuna indigenous tourism (Panama). This can contribute to a better understanding of a new era in which tourists are increasingly seeking a different and stronger relationship with culture and nature to rethink their place in the world. In this report, and for reasons of space, I didn't analyse the effects of indigenous tou-rism on tourists and other social actors involved in the tourism system.", "author" : [ { "dropping-particle" : "", "family" : "Pereiro", "given" : "Xerardo", "non-dropping-particle" : "", "parse-names" : false, "suffix" : "" } ], "container-title" : "Revista Espa\u00f1ola de Antropolog\u00eda Americana", "id" : "ITEM-1", "issued" : { "date-parts" : [ [ "2013" ] ] }, "page" : "155-174", "title" : "Los efectos del turismo en las culturas ind\u00edgenas de Am\u00e9rica Latina", "type" : "article-journal", "volume" : "43" }, "uris" : [ "http://www.mendeley.com/documents/?uuid=8af18977-d765-4d2a-9d68-c97f8e47baf7" ] } ], "mendeley" : { "formattedCitation" : "(Pereiro, 2013)", "manualFormatting" : "Pereiro (2013)", "plainTextFormattedCitation" : "(Pereiro, 2013)", "previouslyFormattedCitation" : "(Pereiro, 2013)" }, "properties" : { "noteIndex" : 0 }, "schema" : "https://github.com/citation-style-language/schema/raw/master/csl-citation.json" }</w:instrText>
      </w:r>
      <w:r w:rsidRPr="004A0D77">
        <w:rPr>
          <w:color w:val="000000" w:themeColor="text1"/>
          <w:lang w:val="es-ES"/>
        </w:rPr>
        <w:fldChar w:fldCharType="separate"/>
      </w:r>
      <w:r w:rsidRPr="004A0D77">
        <w:rPr>
          <w:noProof/>
          <w:color w:val="000000" w:themeColor="text1"/>
          <w:lang w:val="es-ES"/>
        </w:rPr>
        <w:t>Pereiro (2013)</w:t>
      </w:r>
      <w:r w:rsidRPr="004A0D77">
        <w:rPr>
          <w:color w:val="000000" w:themeColor="text1"/>
          <w:lang w:val="es-ES"/>
        </w:rPr>
        <w:fldChar w:fldCharType="end"/>
      </w:r>
      <w:r w:rsidRPr="004A0D77">
        <w:rPr>
          <w:color w:val="000000" w:themeColor="text1"/>
          <w:lang w:val="es-ES"/>
        </w:rPr>
        <w:t xml:space="preserve"> considera que el turismo al que nos estamos refiriendo se denomina de muchas formas: turismo étnico, etnoturismo, turismo indígena, etnoecoturismo, turismo aborigen, etc. Por ello, una de sus primeras características es su imprecisión y su ambigüedad. </w:t>
      </w:r>
    </w:p>
    <w:p w14:paraId="507E89D0" w14:textId="74DE395F" w:rsidR="001803FB" w:rsidRPr="004A0D77" w:rsidRDefault="001803FB" w:rsidP="001803FB">
      <w:pPr>
        <w:widowControl w:val="0"/>
        <w:autoSpaceDE w:val="0"/>
        <w:autoSpaceDN w:val="0"/>
        <w:adjustRightInd w:val="0"/>
        <w:spacing w:after="240" w:line="360" w:lineRule="auto"/>
        <w:jc w:val="both"/>
        <w:rPr>
          <w:color w:val="000000" w:themeColor="text1"/>
          <w:lang w:val="es-ES"/>
        </w:rPr>
      </w:pPr>
      <w:r w:rsidRPr="004A0D77">
        <w:rPr>
          <w:color w:val="000000" w:themeColor="text1"/>
          <w:lang w:val="es-ES"/>
        </w:rPr>
        <w:lastRenderedPageBreak/>
        <w:t xml:space="preserve">Sin embargo existe un factor fundamentalmente importante para considerar dentro de las actividades turísticas la denominación de turismo étnica, es el aspecto o </w:t>
      </w:r>
      <w:r w:rsidRPr="004A0D77">
        <w:rPr>
          <w:b/>
          <w:color w:val="000000" w:themeColor="text1"/>
          <w:lang w:val="es-ES"/>
        </w:rPr>
        <w:t>factor identitatario</w:t>
      </w:r>
      <w:r w:rsidRPr="004A0D77">
        <w:rPr>
          <w:color w:val="000000" w:themeColor="text1"/>
          <w:lang w:val="es-ES"/>
        </w:rPr>
        <w:t xml:space="preserve"> y su relación con el territorio puesto que un grupo étnico es socio-culturalmente distinto otros, este es visto como un grupo de personas que comparten su historia, cultura, idioma, religión y forma de vida </w:t>
      </w:r>
      <w:r w:rsidRPr="004A0D77">
        <w:rPr>
          <w:color w:val="000000" w:themeColor="text1"/>
          <w:lang w:val="es-ES"/>
        </w:rPr>
        <w:fldChar w:fldCharType="begin" w:fldLock="1"/>
      </w:r>
      <w:r w:rsidRPr="004A0D77">
        <w:rPr>
          <w:color w:val="000000" w:themeColor="text1"/>
          <w:lang w:val="es-ES"/>
        </w:rPr>
        <w:instrText>ADDIN CSL_CITATION { "citationItems" : [ { "id" : "ITEM-1", "itemData" : { "DOI" : "10.1016/j.annals.2008.06.005", "ISBN" : "0160-7383", "ISSN" : "01607383", "abstract" : "Ethnic tourism is often used by governments to facilitate development and to preserve heritage. This paper examines the relationship between government and tourism in Xishuangbanna, China. Different levels of government play key but different roles in development through regulation of production, consumption, and investment. Their policies and decisions tend to create tensions when they promote tourism as a regional development strategy as a result of contradictions in regulations, ethnic rights, and relationships with entrepreneurs. It is concluded that more nuanced government policies could mitigate many of the issues. Future tourism planning should provide greater control of tourism by local ethnic people, cultural preservation, and public participation in decision-making processes. ?? 2008 Elsevier Ltd. All rights reserved.", "author" : [ { "dropping-particle" : "", "family" : "Yang", "given" : "Li", "non-dropping-particle" : "", "parse-names" : false, "suffix" : "" }, { "dropping-particle" : "", "family" : "Wall", "given" : "Geoffrey", "non-dropping-particle" : "", "parse-names" : false, "suffix" : "" }, { "dropping-particle" : "", "family" : "Smith", "given" : "Stephen L J", "non-dropping-particle" : "", "parse-names" : false, "suffix" : "" } ], "container-title" : "Annals of Tourism Research", "id" : "ITEM-1", "issue" : "3", "issued" : { "date-parts" : [ [ "2008" ] ] }, "page" : "751-771", "title" : "Ethnic tourism development:. Chinese Government Perspectives", "type" : "article-journal", "volume" : "35" }, "uris" : [ "http://www.mendeley.com/documents/?uuid=0d20c953-b427-4bfa-8100-b34f2dd3f342" ] } ], "mendeley" : { "formattedCitation" : "(Yang, Wall, &amp; Smith, 2008)", "manualFormatting" : "(Yang, Wall, y Smith, 2008)", "plainTextFormattedCitation" : "(Yang, Wall, &amp; Smith, 2008)", "previouslyFormattedCitation" : "(Yang, Wall, &amp; Smith, 2008)" }, "properties" : { "noteIndex" : 0 }, "schema" : "https://github.com/citation-style-language/schema/raw/master/csl-citation.json" }</w:instrText>
      </w:r>
      <w:r w:rsidRPr="004A0D77">
        <w:rPr>
          <w:color w:val="000000" w:themeColor="text1"/>
          <w:lang w:val="es-ES"/>
        </w:rPr>
        <w:fldChar w:fldCharType="separate"/>
      </w:r>
      <w:r w:rsidRPr="004A0D77">
        <w:rPr>
          <w:noProof/>
          <w:color w:val="000000" w:themeColor="text1"/>
          <w:lang w:val="es-ES"/>
        </w:rPr>
        <w:t>(Yang, Wall, y Smith, 2008)</w:t>
      </w:r>
      <w:r w:rsidRPr="004A0D77">
        <w:rPr>
          <w:color w:val="000000" w:themeColor="text1"/>
          <w:lang w:val="es-ES"/>
        </w:rPr>
        <w:fldChar w:fldCharType="end"/>
      </w:r>
      <w:r w:rsidRPr="004A0D77">
        <w:rPr>
          <w:color w:val="000000" w:themeColor="text1"/>
          <w:lang w:val="es-ES"/>
        </w:rPr>
        <w:t xml:space="preserve"> . </w:t>
      </w:r>
    </w:p>
    <w:p w14:paraId="2179C622" w14:textId="77777777" w:rsidR="001803FB" w:rsidRPr="004A0D77" w:rsidRDefault="001803FB" w:rsidP="001803FB">
      <w:pPr>
        <w:widowControl w:val="0"/>
        <w:autoSpaceDE w:val="0"/>
        <w:autoSpaceDN w:val="0"/>
        <w:adjustRightInd w:val="0"/>
        <w:spacing w:after="240" w:line="360" w:lineRule="auto"/>
        <w:jc w:val="both"/>
        <w:rPr>
          <w:color w:val="000000" w:themeColor="text1"/>
          <w:lang w:val="es-ES"/>
        </w:rPr>
      </w:pPr>
      <w:r w:rsidRPr="004A0D77">
        <w:rPr>
          <w:color w:val="000000" w:themeColor="text1"/>
          <w:lang w:val="es-ES"/>
        </w:rPr>
        <w:t xml:space="preserve">Según </w:t>
      </w:r>
      <w:r w:rsidRPr="004A0D77">
        <w:rPr>
          <w:color w:val="000000" w:themeColor="text1"/>
          <w:lang w:val="es-ES"/>
        </w:rPr>
        <w:fldChar w:fldCharType="begin" w:fldLock="1"/>
      </w:r>
      <w:r w:rsidRPr="004A0D77">
        <w:rPr>
          <w:color w:val="000000" w:themeColor="text1"/>
          <w:lang w:val="es-ES"/>
        </w:rPr>
        <w:instrText>ADDIN CSL_CITATION { "citationItems" : [ { "id" : "ITEM-1", "itemData" : { "abstract" : "os interesa un acercamiento a la \u201ccuestio\u0301n e\u0301tnica\u201d que, desde una perspectiva histo\u0301rica y antropolo\u0301gica, permita visualizar los dispositivos de estatalidad que regulan tanto las relaciones de produccio\u0301n, como los imaginarios construidos sobre las poblaciones originaras para producir un modelo hegemo\u0301nico de nacio\u0301n. Se intentara\u0301 un ana\u0301lisis que rescate de la produccio\u0301n antropolo\u0301gica aquellas defini- ciones que descencializan el contenido y alcance de esta problema\u0301tica. Con este propo\u0301sito realizamos un recorrido fundado en distintos enfoques sobre los conceptos de grupo e\u0301tnico, identidad e\u0301tnica y etnicidad. Remarcando, por un lado, el cara\u0301cter procesual y dina\u0301mico de estos feno\u0301menos concebidos como resultado de una com- pleja interaccio\u0301n de relaciones intere\u0301tnicas, y por otro, sen\u0303alando como condicio\u0301n necesa- ria de la comprensio\u0301n de estos feno\u0301menos sociales, la contrastacio\u0301n de estas aproximacio- nes teo\u0301ricas con el campo empi\u0301rico, con el fin de resignar enunciados o patrones de univer- salidad.", "author" : [ { "dropping-particle" : "", "family" : "Bari", "given" : "Maria cristina", "non-dropping-particle" : "", "parse-names" : false, "suffix" : "" } ], "id" : "ITEM-1", "issued" : { "date-parts" : [ [ "2002" ] ] }, "page" : "14", "title" : "La cuestion etnica_ Aproximacion a los conceptos de grupo etnico, identidad etnica, etnicidad y relaciones interetnicas", "type" : "webpage" }, "uris" : [ "http://www.mendeley.com/documents/?uuid=6256b1d6-e311-45ed-8150-343a07d0195c" ] } ], "mendeley" : { "formattedCitation" : "(Bari, 2002)", "manualFormatting" : "Bari (2002)", "plainTextFormattedCitation" : "(Bari, 2002)", "previouslyFormattedCitation" : "(Bari, 2002)" }, "properties" : { "noteIndex" : 0 }, "schema" : "https://github.com/citation-style-language/schema/raw/master/csl-citation.json" }</w:instrText>
      </w:r>
      <w:r w:rsidRPr="004A0D77">
        <w:rPr>
          <w:color w:val="000000" w:themeColor="text1"/>
          <w:lang w:val="es-ES"/>
        </w:rPr>
        <w:fldChar w:fldCharType="separate"/>
      </w:r>
      <w:r w:rsidRPr="004A0D77">
        <w:rPr>
          <w:noProof/>
          <w:color w:val="000000" w:themeColor="text1"/>
          <w:lang w:val="es-ES"/>
        </w:rPr>
        <w:t>Bari (2002)</w:t>
      </w:r>
      <w:r w:rsidRPr="004A0D77">
        <w:rPr>
          <w:color w:val="000000" w:themeColor="text1"/>
          <w:lang w:val="es-ES"/>
        </w:rPr>
        <w:fldChar w:fldCharType="end"/>
      </w:r>
      <w:r w:rsidRPr="004A0D77">
        <w:rPr>
          <w:color w:val="000000" w:themeColor="text1"/>
          <w:lang w:val="es-ES"/>
        </w:rPr>
        <w:t xml:space="preserve">  </w:t>
      </w:r>
      <w:r w:rsidRPr="004A0D77">
        <w:rPr>
          <w:rFonts w:eastAsia="Calibri"/>
          <w:color w:val="000000" w:themeColor="text1"/>
          <w:szCs w:val="22"/>
          <w:lang w:val="es-ES"/>
        </w:rPr>
        <w:t>es posible "concebir" a un grupo étnico como una organización social local caracterizada a partir de normas de auto-inclusión y de atribución por otros</w:t>
      </w:r>
      <w:r w:rsidRPr="004A0D77">
        <w:rPr>
          <w:color w:val="000000" w:themeColor="text1"/>
          <w:lang w:val="es-ES"/>
        </w:rPr>
        <w:t xml:space="preserve">, incluyendo </w:t>
      </w:r>
      <w:r w:rsidRPr="004A0D77">
        <w:rPr>
          <w:rFonts w:eastAsia="Calibri"/>
          <w:color w:val="000000" w:themeColor="text1"/>
          <w:szCs w:val="22"/>
          <w:lang w:val="es-ES"/>
        </w:rPr>
        <w:t>cierta participación en común en las cuestiones de interés general y que puede dar cuenta de lo "cotidiano</w:t>
      </w:r>
      <w:r w:rsidRPr="004A0D77">
        <w:rPr>
          <w:color w:val="000000" w:themeColor="text1"/>
          <w:lang w:val="es-ES"/>
        </w:rPr>
        <w:t xml:space="preserve">" heterogéneo y </w:t>
      </w:r>
      <w:r w:rsidRPr="004A0D77">
        <w:rPr>
          <w:rFonts w:eastAsia="Calibri"/>
          <w:color w:val="000000" w:themeColor="text1"/>
          <w:szCs w:val="22"/>
          <w:lang w:val="es-ES"/>
        </w:rPr>
        <w:t>orien</w:t>
      </w:r>
      <w:r w:rsidRPr="004A0D77">
        <w:rPr>
          <w:color w:val="000000" w:themeColor="text1"/>
          <w:lang w:val="es-ES"/>
        </w:rPr>
        <w:t>tada por un sistema de valores, lo</w:t>
      </w:r>
      <w:r w:rsidRPr="004A0D77">
        <w:rPr>
          <w:rFonts w:eastAsia="Calibri"/>
          <w:color w:val="000000" w:themeColor="text1"/>
          <w:szCs w:val="22"/>
          <w:lang w:val="es-ES"/>
        </w:rPr>
        <w:t>s cuales ordenan las relaciones internas y externas, definiendo sus límites étnicos.</w:t>
      </w:r>
    </w:p>
    <w:p w14:paraId="57B2CA76" w14:textId="77777777" w:rsidR="001803FB" w:rsidRPr="004A0D77" w:rsidRDefault="001803FB" w:rsidP="001803FB">
      <w:pPr>
        <w:spacing w:line="360" w:lineRule="auto"/>
        <w:jc w:val="both"/>
        <w:rPr>
          <w:color w:val="000000" w:themeColor="text1"/>
          <w:lang w:val="es-ES"/>
        </w:rPr>
      </w:pPr>
      <w:r w:rsidRPr="004A0D77">
        <w:rPr>
          <w:color w:val="000000" w:themeColor="text1"/>
          <w:lang w:val="es-ES"/>
        </w:rPr>
        <w:t xml:space="preserve">Siendo la cultura y todos los componentes subyacentes a ella el elemento central de esta categoría turística se entiende entonces que el Etnoturismo es una construcción social </w:t>
      </w:r>
      <w:r w:rsidRPr="004A0D77">
        <w:rPr>
          <w:color w:val="000000" w:themeColor="text1"/>
          <w:lang w:val="es-ES"/>
        </w:rPr>
        <w:fldChar w:fldCharType="begin" w:fldLock="1"/>
      </w:r>
      <w:r w:rsidRPr="004A0D77">
        <w:rPr>
          <w:color w:val="000000" w:themeColor="text1"/>
          <w:lang w:val="es-ES"/>
        </w:rPr>
        <w:instrText>ADDIN CSL_CITATION { "citationItems" : [ { "id" : "ITEM-1", "itemData" : { "author" : [ { "dropping-particle" : "", "family" : "Berger", "given" : "Peter", "non-dropping-particle" : "", "parse-names" : false, "suffix" : "" }, { "dropping-particle" : "", "family" : "Luckman", "given" : "Thomas", "non-dropping-particle" : "", "parse-names" : false, "suffix" : "" } ], "editor" : [ { "dropping-particle" : "", "family" : "Amorrortu", "given" : "Editores", "non-dropping-particle" : "", "parse-names" : false, "suffix" : "" } ], "id" : "ITEM-1", "issued" : { "date-parts" : [ [ "1968" ] ] }, "publisher-place" : "Argentina", "title" : "Berger-Luckman -Construcci\u00f3n social de la realidad", "type" : "book" }, "uris" : [ "http://www.mendeley.com/documents/?uuid=78472f60-60b6-4c9d-93da-7e923e393ddc" ] } ], "mendeley" : { "formattedCitation" : "(Berger &amp; Luckman, 1968)", "manualFormatting" : "(Berger y Luckman, 1968)", "plainTextFormattedCitation" : "(Berger &amp; Luckman, 1968)", "previouslyFormattedCitation" : "(Berger &amp; Luckman, 1968)" }, "properties" : { "noteIndex" : 0 }, "schema" : "https://github.com/citation-style-language/schema/raw/master/csl-citation.json" }</w:instrText>
      </w:r>
      <w:r w:rsidRPr="004A0D77">
        <w:rPr>
          <w:color w:val="000000" w:themeColor="text1"/>
          <w:lang w:val="es-ES"/>
        </w:rPr>
        <w:fldChar w:fldCharType="separate"/>
      </w:r>
      <w:r w:rsidRPr="004A0D77">
        <w:rPr>
          <w:noProof/>
          <w:color w:val="000000" w:themeColor="text1"/>
          <w:lang w:val="es-ES"/>
        </w:rPr>
        <w:t>(Berger y Luckman, 1968)</w:t>
      </w:r>
      <w:r w:rsidRPr="004A0D77">
        <w:rPr>
          <w:color w:val="000000" w:themeColor="text1"/>
          <w:lang w:val="es-ES"/>
        </w:rPr>
        <w:fldChar w:fldCharType="end"/>
      </w:r>
      <w:r w:rsidRPr="004A0D77">
        <w:rPr>
          <w:color w:val="000000" w:themeColor="text1"/>
          <w:lang w:val="es-ES"/>
        </w:rPr>
        <w:t xml:space="preserve"> que adquiere diferentes formas en el transcurso de la historia y de acuerdo a las regiones  </w:t>
      </w:r>
      <w:r w:rsidRPr="004A0D77">
        <w:rPr>
          <w:color w:val="000000" w:themeColor="text1"/>
          <w:lang w:val="es-ES"/>
        </w:rPr>
        <w:fldChar w:fldCharType="begin" w:fldLock="1"/>
      </w:r>
      <w:r w:rsidRPr="004A0D77">
        <w:rPr>
          <w:color w:val="000000" w:themeColor="text1"/>
          <w:lang w:val="es-ES"/>
        </w:rPr>
        <w:instrText>ADDIN CSL_CITATION { "citationItems" : [ { "id" : "ITEM-1", "itemData" : { "abstract" : "[\u2026] Para dar cuenta de la realidad, el conocimiento suele representarse mediante diferentes formas gr\u00e1ficas (modelos, mapas, esquemas, etc.), ordenando los datos de manera visible, estructurada y entendible obteniendo as\u00ed capacidades para resumir aspectos complejos surgidos de los componentes y los contextos del objeto de estudio. Dentro de esas formas de representaciones, la matriz re\u00fane una serie de caracter\u00edsticas que la convierten en herramienta apropiada para abordar el turismo desde el paradigma de la complejidad.\\nAqu\u00ed se propone una forma de construir dichas matrices, recurriendo a la utilizaci\u00f3n de una abstracci\u00f3n conceptual de diversas definiciones sobre turismo que permiti\u00f3 identificar cuatro categor\u00edas que inevitablemente dan forma y configuran al turismo a la vez que son el marco y la forma que contribuyen a su construcci\u00f3n y son relevantes en la asignaci\u00f3n de significados: Tiempo, Espacio, Motivaciones y Actividades, las cuales se agruparon bajo la denominaci\u00f3n de \u00abcampo de an\u00e1lisis T.E.M.A\u00bb (Campod\u00f3nico &amp; Chalar 2011).", "author" : [ { "dropping-particle" : "", "family" : "Campod\u00f3nico", "given" : "Rossana", "non-dropping-particle" : "", "parse-names" : false, "suffix" : "" }, { "dropping-particle" : "", "family" : "Chalar", "given" : "Luis", "non-dropping-particle" : "", "parse-names" : false, "suffix" : "" } ], "id" : "ITEM-1", "issued" : { "date-parts" : [ [ "2014" ] ] }, "page" : "1-13", "title" : "El turismo como construcci\u00f3n social", "type" : "article-journal" }, "uris" : [ "http://www.mendeley.com/documents/?uuid=df6c6967-f08d-47b4-a3ac-1a62f6152d49" ] } ], "mendeley" : { "formattedCitation" : "(Campod\u00f3nico &amp; Chalar, 2014)", "manualFormatting" : "(Campod\u00f3nico y Chalar, 2014)", "plainTextFormattedCitation" : "(Campod\u00f3nico &amp; Chalar, 2014)", "previouslyFormattedCitation" : "(Campod\u00f3nico &amp; Chalar, 2014)" }, "properties" : { "noteIndex" : 0 }, "schema" : "https://github.com/citation-style-language/schema/raw/master/csl-citation.json" }</w:instrText>
      </w:r>
      <w:r w:rsidRPr="004A0D77">
        <w:rPr>
          <w:color w:val="000000" w:themeColor="text1"/>
          <w:lang w:val="es-ES"/>
        </w:rPr>
        <w:fldChar w:fldCharType="separate"/>
      </w:r>
      <w:r w:rsidRPr="004A0D77">
        <w:rPr>
          <w:noProof/>
          <w:color w:val="000000" w:themeColor="text1"/>
          <w:lang w:val="es-ES"/>
        </w:rPr>
        <w:t>(Campodónico y Chalar, 2014)</w:t>
      </w:r>
      <w:r w:rsidRPr="004A0D77">
        <w:rPr>
          <w:color w:val="000000" w:themeColor="text1"/>
          <w:lang w:val="es-ES"/>
        </w:rPr>
        <w:fldChar w:fldCharType="end"/>
      </w:r>
      <w:r w:rsidRPr="004A0D77">
        <w:rPr>
          <w:color w:val="000000" w:themeColor="text1"/>
          <w:lang w:val="es-ES"/>
        </w:rPr>
        <w:t xml:space="preserve">. Esta es una forma de nostalgia que ha servido en muchos casos para generar presencias turísticas, pero también para mercantilizar y volver más exótica la cultura indígena </w:t>
      </w:r>
      <w:r w:rsidRPr="004A0D77">
        <w:rPr>
          <w:color w:val="000000" w:themeColor="text1"/>
          <w:lang w:val="es-ES"/>
        </w:rPr>
        <w:fldChar w:fldCharType="begin" w:fldLock="1"/>
      </w:r>
      <w:r w:rsidRPr="004A0D77">
        <w:rPr>
          <w:color w:val="000000" w:themeColor="text1"/>
          <w:lang w:val="es-ES"/>
        </w:rPr>
        <w:instrText>ADDIN CSL_CITATION { "citationItems" : [ { "id" : "ITEM-1", "itemData" : { "DOI" : "10.5209/rev_REAA.2013.v43.n1.42308", "ISBN" : "1040359019", "ISSN" : "0556-6533", "abstract" : "RESUMEN En nuestro texto analizamos las perspectivas de los efectos del turismo sobre las comunidades ind\u00edgenas de Am\u00e9rica Latina o Abya Yala. Para ello partimos de sus debates acad\u00e9micos y de nuestra experiencia de investigaci\u00f3n con el turismo ind\u00edgena kuna (Panam\u00e1). Ello puede contribuir a una mejor comprensi\u00f3n de un nuevo tiempo en el que los turistas buscan cada vez m\u00e1s al otro y una relaci\u00f3n m\u00e1s intensa con la cultura y la naturaleza para repensar su lugar en el mundo. En el texto, y por motivos de espacio, no analizamos los efectos del turismo ind\u00edgena sobre los turistas y otros agentes sociales que intervienen en el sistema tur\u00edstico. Palabras clave: antropolog\u00eda, turismo ind\u00edgena, Am\u00e9rica Latina The Effects of Tourism on the Indigenous Cultures of Latin America ABSTRACT In my report, I have analysed the prospects of the effects of tourism on indigenous communities in Latin Ame-rica or Abya Yala. In order to do this, I started from their academic discussions and my research experience with the Kuna indigenous tourism (Panama). This can contribute to a better understanding of a new era in which tourists are increasingly seeking a different and stronger relationship with culture and nature to rethink their place in the world. In this report, and for reasons of space, I didn't analyse the effects of indigenous tou-rism on tourists and other social actors involved in the tourism system.", "author" : [ { "dropping-particle" : "", "family" : "Pereiro", "given" : "Xerardo", "non-dropping-particle" : "", "parse-names" : false, "suffix" : "" } ], "container-title" : "Revista Espa\u00f1ola de Antropolog\u00eda Americana", "id" : "ITEM-1", "issued" : { "date-parts" : [ [ "2013" ] ] }, "page" : "155-174", "title" : "Los efectos del turismo en las culturas ind\u00edgenas de Am\u00e9rica Latina", "type" : "article-journal", "volume" : "43" }, "uris" : [ "http://www.mendeley.com/documents/?uuid=8af18977-d765-4d2a-9d68-c97f8e47baf7" ] } ], "mendeley" : { "formattedCitation" : "(Pereiro, 2013)", "manualFormatting" : "(Pereiro et al., 2013)", "plainTextFormattedCitation" : "(Pereiro, 2013)", "previouslyFormattedCitation" : "(Pereiro, 2013)" }, "properties" : { "noteIndex" : 0 }, "schema" : "https://github.com/citation-style-language/schema/raw/master/csl-citation.json" }</w:instrText>
      </w:r>
      <w:r w:rsidRPr="004A0D77">
        <w:rPr>
          <w:color w:val="000000" w:themeColor="text1"/>
          <w:lang w:val="es-ES"/>
        </w:rPr>
        <w:fldChar w:fldCharType="separate"/>
      </w:r>
      <w:r w:rsidRPr="004A0D77">
        <w:rPr>
          <w:noProof/>
          <w:color w:val="000000" w:themeColor="text1"/>
          <w:lang w:val="es-ES"/>
        </w:rPr>
        <w:t>(Pereiro et al., 2013)</w:t>
      </w:r>
      <w:r w:rsidRPr="004A0D77">
        <w:rPr>
          <w:color w:val="000000" w:themeColor="text1"/>
          <w:lang w:val="es-ES"/>
        </w:rPr>
        <w:fldChar w:fldCharType="end"/>
      </w:r>
      <w:r w:rsidRPr="004A0D77">
        <w:rPr>
          <w:color w:val="000000" w:themeColor="text1"/>
          <w:lang w:val="es-ES"/>
        </w:rPr>
        <w:t>.</w:t>
      </w:r>
    </w:p>
    <w:p w14:paraId="23C209C2" w14:textId="77777777" w:rsidR="001803FB" w:rsidRPr="004A0D77" w:rsidRDefault="001803FB" w:rsidP="001803FB">
      <w:pPr>
        <w:spacing w:line="360" w:lineRule="auto"/>
        <w:jc w:val="both"/>
        <w:rPr>
          <w:color w:val="000000" w:themeColor="text1"/>
          <w:lang w:val="es-ES"/>
        </w:rPr>
      </w:pPr>
    </w:p>
    <w:p w14:paraId="65FD2031" w14:textId="77777777" w:rsidR="001803FB" w:rsidRPr="004A0D77" w:rsidRDefault="001803FB" w:rsidP="001803FB">
      <w:pPr>
        <w:spacing w:line="360" w:lineRule="auto"/>
        <w:jc w:val="both"/>
        <w:rPr>
          <w:color w:val="000000" w:themeColor="text1"/>
          <w:lang w:val="es-ES"/>
        </w:rPr>
      </w:pPr>
      <w:r w:rsidRPr="004A0D77">
        <w:rPr>
          <w:color w:val="000000" w:themeColor="text1"/>
          <w:lang w:val="es-ES"/>
        </w:rPr>
        <w:t xml:space="preserve">En la Guajira el turismo étnico se da en una variedad de destinos y contextos donde los usos y costumbres de la etnia wayuu en complemento con las condiciones naturales de esta tierra mágica, </w:t>
      </w:r>
      <w:proofErr w:type="spellStart"/>
      <w:r w:rsidRPr="004A0D77">
        <w:rPr>
          <w:color w:val="000000" w:themeColor="text1"/>
          <w:lang w:val="es-ES"/>
        </w:rPr>
        <w:t>pluri</w:t>
      </w:r>
      <w:proofErr w:type="spellEnd"/>
      <w:r w:rsidRPr="004A0D77">
        <w:rPr>
          <w:color w:val="000000" w:themeColor="text1"/>
          <w:lang w:val="es-ES"/>
        </w:rPr>
        <w:t>-étnica y cultural se convierte en el atractivo principal de esta actividad turística. Sin embargo  lo ancestral de la etnia wayuu se posiciona en el imaginario del potencial turista que libre y espontáneamente escoge a La Guajira como destino turístico.</w:t>
      </w:r>
    </w:p>
    <w:p w14:paraId="496625C7" w14:textId="77777777" w:rsidR="00646EAE" w:rsidRPr="004A0D77" w:rsidRDefault="00646EAE" w:rsidP="001803FB">
      <w:pPr>
        <w:spacing w:line="360" w:lineRule="auto"/>
        <w:jc w:val="both"/>
        <w:rPr>
          <w:color w:val="000000" w:themeColor="text1"/>
          <w:lang w:val="es-ES"/>
        </w:rPr>
      </w:pPr>
    </w:p>
    <w:p w14:paraId="3AC8EFA6" w14:textId="0C4BE847" w:rsidR="001803FB" w:rsidRPr="004A0D77" w:rsidRDefault="001803FB" w:rsidP="001803FB">
      <w:pPr>
        <w:spacing w:line="360" w:lineRule="auto"/>
        <w:jc w:val="both"/>
        <w:rPr>
          <w:color w:val="000000" w:themeColor="text1"/>
          <w:lang w:val="es-ES"/>
        </w:rPr>
      </w:pPr>
      <w:r w:rsidRPr="004A0D77">
        <w:rPr>
          <w:color w:val="000000" w:themeColor="text1"/>
          <w:lang w:val="es-ES"/>
        </w:rPr>
        <w:t xml:space="preserve">Las expectativas Etnoturísticas del departamento de La Guajira están contempladas en la agenda de competitividad del Departamento, la cual considera “para el año 2020 La Guajira como principal destino ecoetnoturístico del Caribe, llegando a niveles de ocupación del 70% anual en la planta hotelera y a una participación del 5% del PIB departamental. </w:t>
      </w:r>
    </w:p>
    <w:p w14:paraId="499E8E6B" w14:textId="77777777" w:rsidR="001803FB" w:rsidRPr="004A0D77" w:rsidRDefault="001803FB" w:rsidP="001803FB">
      <w:pPr>
        <w:spacing w:line="360" w:lineRule="auto"/>
        <w:jc w:val="both"/>
        <w:rPr>
          <w:color w:val="000000" w:themeColor="text1"/>
          <w:lang w:val="es-ES"/>
        </w:rPr>
      </w:pPr>
    </w:p>
    <w:p w14:paraId="62CA73EA" w14:textId="77777777" w:rsidR="001803FB" w:rsidRPr="004A0D77" w:rsidRDefault="001803FB" w:rsidP="001803FB">
      <w:pPr>
        <w:spacing w:line="360" w:lineRule="auto"/>
        <w:jc w:val="both"/>
        <w:rPr>
          <w:color w:val="000000" w:themeColor="text1"/>
          <w:lang w:val="es-ES"/>
        </w:rPr>
      </w:pPr>
      <w:r w:rsidRPr="004A0D77">
        <w:rPr>
          <w:color w:val="000000" w:themeColor="text1"/>
          <w:lang w:val="es-ES"/>
        </w:rPr>
        <w:t xml:space="preserve">El contexto que refiere al turismo en La Guajira está orientado al turismo étnico, el cual ha experimentado un significativo crecimiento dentro de las categorías turísticas de mayor interés </w:t>
      </w:r>
      <w:r w:rsidRPr="004A0D77">
        <w:rPr>
          <w:color w:val="000000" w:themeColor="text1"/>
          <w:lang w:val="es-ES"/>
        </w:rPr>
        <w:lastRenderedPageBreak/>
        <w:t xml:space="preserve">en el país, siendo los intercambios culturales y económicos una característica de la industria del turismo </w:t>
      </w:r>
      <w:r w:rsidRPr="004A0D77">
        <w:rPr>
          <w:color w:val="000000" w:themeColor="text1"/>
          <w:lang w:val="es-ES"/>
        </w:rPr>
        <w:fldChar w:fldCharType="begin" w:fldLock="1"/>
      </w:r>
      <w:r w:rsidRPr="004A0D77">
        <w:rPr>
          <w:color w:val="000000" w:themeColor="text1"/>
          <w:lang w:val="es-ES"/>
        </w:rPr>
        <w:instrText>ADDIN CSL_CITATION { "citationItems" : [ { "id" : "ITEM-1", "itemData" : { "DOI" : "10.1016/j.tourman.2015.10.002", "ISSN" : "02615177", "abstract" : "This article makes the case for tourism culture; the new cultural expressions, practises and identities, influenced by hosts, guests and industry context, which may develop in destinations, as a useful perspective with which to draw together various conceptual narratives within the tourism studies literature. Research in three small islands finds evidence of a distinctive cultural landscape which emerges from the interaction of host and guest cultures, and the exchange, change and creativity that results. Tourism industry dynamics are found to facilitate or undermine this process, as in turn they may be influenced by. This tourism culture has implications for the continuation and evolution of indigenous culture, as it does for the absorption of elements of tourist cultures. The emergent fusion may be symptomatic of a richer cultural landscape and might be considered as an indicator of more sustainable communities and forms of tourism development.", "author" : [ { "dropping-particle" : "", "family" : "Canavan", "given" : "Brendan", "non-dropping-particle" : "", "parse-names" : false, "suffix" : "" } ], "container-title" : "Tourism Management", "id" : "ITEM-1", "issued" : { "date-parts" : [ [ "2016" ] ] }, "page" : "229-243", "publisher" : "Elsevier Ltd", "title" : "Tourism culture: Nexus, characteristics, context and sustainability", "type" : "article-journal", "volume" : "53" }, "uris" : [ "http://www.mendeley.com/documents/?uuid=f1f84bf7-5350-4b95-9de3-6900725c8ab4" ] } ], "mendeley" : { "formattedCitation" : "(Canavan, 2016)", "plainTextFormattedCitation" : "(Canavan, 2016)", "previouslyFormattedCitation" : "(Canavan, 2016)" }, "properties" : { "noteIndex" : 0 }, "schema" : "https://github.com/citation-style-language/schema/raw/master/csl-citation.json" }</w:instrText>
      </w:r>
      <w:r w:rsidRPr="004A0D77">
        <w:rPr>
          <w:color w:val="000000" w:themeColor="text1"/>
          <w:lang w:val="es-ES"/>
        </w:rPr>
        <w:fldChar w:fldCharType="separate"/>
      </w:r>
      <w:r w:rsidRPr="004A0D77">
        <w:rPr>
          <w:noProof/>
          <w:color w:val="000000" w:themeColor="text1"/>
          <w:lang w:val="es-ES"/>
        </w:rPr>
        <w:t>(Canavan, 2016)</w:t>
      </w:r>
      <w:r w:rsidRPr="004A0D77">
        <w:rPr>
          <w:color w:val="000000" w:themeColor="text1"/>
          <w:lang w:val="es-ES"/>
        </w:rPr>
        <w:fldChar w:fldCharType="end"/>
      </w:r>
      <w:r w:rsidRPr="004A0D77">
        <w:rPr>
          <w:color w:val="000000" w:themeColor="text1"/>
          <w:lang w:val="es-ES"/>
        </w:rPr>
        <w:t xml:space="preserve"> la integración de elementos para el caso de La Guajira como la etnia, la cultura wayuu, en complemento con el ecoturismo se constituyen en los principales elementos que aportan al turismo local. </w:t>
      </w:r>
    </w:p>
    <w:p w14:paraId="0BCDB812" w14:textId="77777777" w:rsidR="001803FB" w:rsidRPr="004A0D77" w:rsidRDefault="001803FB" w:rsidP="001803FB">
      <w:pPr>
        <w:spacing w:line="360" w:lineRule="auto"/>
        <w:jc w:val="both"/>
        <w:rPr>
          <w:color w:val="000000" w:themeColor="text1"/>
          <w:lang w:val="es-ES"/>
        </w:rPr>
      </w:pPr>
    </w:p>
    <w:p w14:paraId="2EE38C26" w14:textId="4653033A" w:rsidR="000C2217" w:rsidRDefault="001803FB" w:rsidP="00452436">
      <w:pPr>
        <w:spacing w:line="360" w:lineRule="auto"/>
        <w:jc w:val="both"/>
        <w:rPr>
          <w:color w:val="000000" w:themeColor="text1"/>
          <w:lang w:val="es-ES"/>
        </w:rPr>
      </w:pPr>
      <w:r w:rsidRPr="004A0D77">
        <w:rPr>
          <w:color w:val="000000" w:themeColor="text1"/>
          <w:lang w:val="es-ES"/>
        </w:rPr>
        <w:t>Sin embargo es evidente la falta de literatura y la ausencia de estudios académicos  dirigidos a descubrir y  comprender la realidad de la cultura wayuu como un fenómeno cultural frente al papel y los aportes que brinda al mercado del turismo étnico en el departamento de La Guajira. Con la presente investigación se pretende despejar el siguiente interrogante principal: ¿Cuál es el rol de la cultura wayúu en el desarrollo del turismo étnico del departamento de La Guajira – Colombia?.</w:t>
      </w:r>
    </w:p>
    <w:p w14:paraId="79AFB08E" w14:textId="77777777" w:rsidR="00660EA8" w:rsidRPr="004A0D77" w:rsidRDefault="00660EA8" w:rsidP="00452436">
      <w:pPr>
        <w:spacing w:line="360" w:lineRule="auto"/>
        <w:jc w:val="both"/>
        <w:rPr>
          <w:color w:val="000000" w:themeColor="text1"/>
          <w:lang w:val="es-ES"/>
        </w:rPr>
      </w:pPr>
    </w:p>
    <w:p w14:paraId="6A845F40" w14:textId="7E8BDFB5" w:rsidR="000C2217" w:rsidRPr="004A0D77" w:rsidRDefault="000C2217" w:rsidP="00452436">
      <w:pPr>
        <w:spacing w:line="360" w:lineRule="auto"/>
        <w:jc w:val="both"/>
        <w:rPr>
          <w:color w:val="000000" w:themeColor="text1"/>
          <w:lang w:val="es-ES"/>
        </w:rPr>
      </w:pPr>
      <w:r w:rsidRPr="004A0D77">
        <w:rPr>
          <w:color w:val="000000" w:themeColor="text1"/>
          <w:lang w:val="es-ES"/>
        </w:rPr>
        <w:t xml:space="preserve">De igual forma se pretende dar respuesta a las siguientes </w:t>
      </w:r>
      <w:r w:rsidR="00E54FF8" w:rsidRPr="004A0D77">
        <w:rPr>
          <w:color w:val="000000" w:themeColor="text1"/>
          <w:lang w:val="es-ES"/>
        </w:rPr>
        <w:t>preguntas secundarias de profundización:</w:t>
      </w:r>
    </w:p>
    <w:p w14:paraId="57122787" w14:textId="414631CC" w:rsidR="00E54FF8" w:rsidRPr="004A0D77" w:rsidRDefault="00E54FF8" w:rsidP="00E54FF8">
      <w:pPr>
        <w:pStyle w:val="Prrafodelista"/>
        <w:numPr>
          <w:ilvl w:val="0"/>
          <w:numId w:val="34"/>
        </w:numPr>
        <w:jc w:val="both"/>
        <w:rPr>
          <w:rFonts w:eastAsia="Times New Roman"/>
          <w:color w:val="000000" w:themeColor="text1"/>
          <w:lang w:val="es-ES"/>
        </w:rPr>
      </w:pPr>
      <w:r w:rsidRPr="004A0D77">
        <w:rPr>
          <w:rFonts w:eastAsia="Times New Roman"/>
          <w:color w:val="000000" w:themeColor="text1"/>
          <w:lang w:val="es-ES"/>
        </w:rPr>
        <w:t xml:space="preserve">¿Cuales son </w:t>
      </w:r>
      <w:r w:rsidRPr="004A0D77">
        <w:rPr>
          <w:rFonts w:eastAsia="Times New Roman"/>
          <w:color w:val="000000" w:themeColor="text1"/>
          <w:lang w:val="es-ES"/>
        </w:rPr>
        <w:t xml:space="preserve"> los aspectos</w:t>
      </w:r>
      <w:r w:rsidRPr="004A0D77">
        <w:rPr>
          <w:rFonts w:eastAsia="Times New Roman"/>
          <w:color w:val="000000" w:themeColor="text1"/>
          <w:lang w:val="es-ES"/>
        </w:rPr>
        <w:t xml:space="preserve"> </w:t>
      </w:r>
      <w:r w:rsidRPr="004A0D77">
        <w:rPr>
          <w:rFonts w:eastAsia="Times New Roman"/>
          <w:color w:val="000000" w:themeColor="text1"/>
          <w:lang w:val="es-ES"/>
        </w:rPr>
        <w:t xml:space="preserve"> del turismo</w:t>
      </w:r>
      <w:r w:rsidRPr="004A0D77">
        <w:rPr>
          <w:rFonts w:eastAsia="Times New Roman"/>
          <w:color w:val="000000" w:themeColor="text1"/>
          <w:lang w:val="es-ES"/>
        </w:rPr>
        <w:t xml:space="preserve"> étnico </w:t>
      </w:r>
      <w:r w:rsidRPr="004A0D77">
        <w:rPr>
          <w:rFonts w:eastAsia="Times New Roman"/>
          <w:color w:val="000000" w:themeColor="text1"/>
          <w:lang w:val="es-ES"/>
        </w:rPr>
        <w:t xml:space="preserve"> relacionados con el desarrollo socio-económico de la etnia wayuu</w:t>
      </w:r>
      <w:r w:rsidRPr="004A0D77">
        <w:rPr>
          <w:rFonts w:eastAsia="Times New Roman"/>
          <w:color w:val="000000" w:themeColor="text1"/>
          <w:lang w:val="es-ES"/>
        </w:rPr>
        <w:t>?</w:t>
      </w:r>
    </w:p>
    <w:p w14:paraId="6E833AC9" w14:textId="77777777" w:rsidR="00E54FF8" w:rsidRPr="004A0D77" w:rsidRDefault="00E54FF8" w:rsidP="00E54FF8">
      <w:pPr>
        <w:pStyle w:val="Prrafodelista"/>
        <w:jc w:val="both"/>
        <w:rPr>
          <w:rFonts w:eastAsia="Times New Roman"/>
          <w:color w:val="000000" w:themeColor="text1"/>
          <w:lang w:val="es-ES"/>
        </w:rPr>
      </w:pPr>
    </w:p>
    <w:p w14:paraId="3B731B91" w14:textId="19B11DF5" w:rsidR="00E54FF8" w:rsidRPr="004A0D77" w:rsidRDefault="00E54FF8" w:rsidP="00E54FF8">
      <w:pPr>
        <w:pStyle w:val="Prrafodelista"/>
        <w:numPr>
          <w:ilvl w:val="0"/>
          <w:numId w:val="34"/>
        </w:numPr>
        <w:jc w:val="both"/>
        <w:rPr>
          <w:rFonts w:eastAsia="Times New Roman"/>
          <w:color w:val="000000" w:themeColor="text1"/>
          <w:lang w:val="es-ES"/>
        </w:rPr>
      </w:pPr>
      <w:r w:rsidRPr="004A0D77">
        <w:rPr>
          <w:rFonts w:eastAsia="Times New Roman"/>
          <w:color w:val="000000" w:themeColor="text1"/>
          <w:lang w:val="es-ES"/>
        </w:rPr>
        <w:t>¿Como se puede e</w:t>
      </w:r>
      <w:r w:rsidRPr="004A0D77">
        <w:rPr>
          <w:rFonts w:eastAsia="Times New Roman"/>
          <w:color w:val="000000" w:themeColor="text1"/>
          <w:lang w:val="es-ES"/>
        </w:rPr>
        <w:t>stablecer las características</w:t>
      </w:r>
      <w:r w:rsidRPr="004A0D77">
        <w:rPr>
          <w:rFonts w:eastAsia="Times New Roman"/>
          <w:color w:val="000000" w:themeColor="text1"/>
          <w:lang w:val="es-ES"/>
        </w:rPr>
        <w:t xml:space="preserve"> particulares </w:t>
      </w:r>
      <w:r w:rsidRPr="004A0D77">
        <w:rPr>
          <w:rFonts w:eastAsia="Times New Roman"/>
          <w:color w:val="000000" w:themeColor="text1"/>
          <w:lang w:val="es-ES"/>
        </w:rPr>
        <w:t xml:space="preserve"> de la cosmogonía de la etnia wayúu como element</w:t>
      </w:r>
      <w:r w:rsidRPr="004A0D77">
        <w:rPr>
          <w:rFonts w:eastAsia="Times New Roman"/>
          <w:color w:val="000000" w:themeColor="text1"/>
          <w:lang w:val="es-ES"/>
        </w:rPr>
        <w:t>o distintivo del turismo étnico?</w:t>
      </w:r>
    </w:p>
    <w:p w14:paraId="49F56EE7" w14:textId="77777777" w:rsidR="00E54FF8" w:rsidRPr="004A0D77" w:rsidRDefault="00E54FF8" w:rsidP="00E54FF8">
      <w:pPr>
        <w:jc w:val="both"/>
        <w:rPr>
          <w:color w:val="000000" w:themeColor="text1"/>
          <w:lang w:val="es-ES"/>
        </w:rPr>
      </w:pPr>
    </w:p>
    <w:p w14:paraId="67AC7CF7" w14:textId="7286A67D" w:rsidR="00E54FF8" w:rsidRPr="004A0D77" w:rsidRDefault="00E54FF8" w:rsidP="00E54FF8">
      <w:pPr>
        <w:pStyle w:val="Prrafodelista"/>
        <w:numPr>
          <w:ilvl w:val="0"/>
          <w:numId w:val="34"/>
        </w:numPr>
        <w:jc w:val="both"/>
        <w:rPr>
          <w:rFonts w:eastAsia="Times New Roman"/>
          <w:color w:val="000000" w:themeColor="text1"/>
          <w:lang w:val="es-ES"/>
        </w:rPr>
      </w:pPr>
      <w:r w:rsidRPr="004A0D77">
        <w:rPr>
          <w:rFonts w:eastAsia="Times New Roman"/>
          <w:color w:val="000000" w:themeColor="text1"/>
          <w:lang w:val="es-ES"/>
        </w:rPr>
        <w:t xml:space="preserve">¿ </w:t>
      </w:r>
      <w:r w:rsidR="00646EAE" w:rsidRPr="004A0D77">
        <w:rPr>
          <w:rFonts w:eastAsia="Times New Roman"/>
          <w:color w:val="000000" w:themeColor="text1"/>
          <w:lang w:val="es-ES"/>
        </w:rPr>
        <w:t>Cuales son</w:t>
      </w:r>
      <w:r w:rsidRPr="004A0D77">
        <w:rPr>
          <w:rFonts w:eastAsia="Times New Roman"/>
          <w:color w:val="000000" w:themeColor="text1"/>
          <w:lang w:val="es-ES"/>
        </w:rPr>
        <w:t xml:space="preserve"> las </w:t>
      </w:r>
      <w:r w:rsidRPr="004A0D77">
        <w:rPr>
          <w:rFonts w:eastAsia="Times New Roman"/>
          <w:color w:val="000000" w:themeColor="text1"/>
          <w:lang w:val="es-ES"/>
        </w:rPr>
        <w:t xml:space="preserve">características  de cada </w:t>
      </w:r>
      <w:r w:rsidRPr="004A0D77">
        <w:rPr>
          <w:rFonts w:eastAsia="Times New Roman"/>
          <w:color w:val="000000" w:themeColor="text1"/>
          <w:lang w:val="es-ES"/>
        </w:rPr>
        <w:t xml:space="preserve"> atractivos étnicos </w:t>
      </w:r>
      <w:r w:rsidR="00646EAE" w:rsidRPr="004A0D77">
        <w:rPr>
          <w:rFonts w:eastAsia="Times New Roman"/>
          <w:color w:val="000000" w:themeColor="text1"/>
          <w:lang w:val="es-ES"/>
        </w:rPr>
        <w:t>y la influencia</w:t>
      </w:r>
      <w:r w:rsidRPr="004A0D77">
        <w:rPr>
          <w:rFonts w:eastAsia="Times New Roman"/>
          <w:color w:val="000000" w:themeColor="text1"/>
          <w:lang w:val="es-ES"/>
        </w:rPr>
        <w:t xml:space="preserve"> por </w:t>
      </w:r>
      <w:r w:rsidRPr="004A0D77">
        <w:rPr>
          <w:rFonts w:eastAsia="Times New Roman"/>
          <w:color w:val="000000" w:themeColor="text1"/>
          <w:lang w:val="es-ES"/>
        </w:rPr>
        <w:t xml:space="preserve"> </w:t>
      </w:r>
      <w:r w:rsidR="00646EAE" w:rsidRPr="004A0D77">
        <w:rPr>
          <w:rFonts w:eastAsia="Times New Roman"/>
          <w:color w:val="000000" w:themeColor="text1"/>
          <w:lang w:val="es-ES"/>
        </w:rPr>
        <w:t xml:space="preserve">parte de </w:t>
      </w:r>
      <w:r w:rsidRPr="004A0D77">
        <w:rPr>
          <w:rFonts w:eastAsia="Times New Roman"/>
          <w:color w:val="000000" w:themeColor="text1"/>
          <w:lang w:val="es-ES"/>
        </w:rPr>
        <w:t>la cultura wayúu</w:t>
      </w:r>
      <w:r w:rsidR="00646EAE" w:rsidRPr="004A0D77">
        <w:rPr>
          <w:rFonts w:eastAsia="Times New Roman"/>
          <w:color w:val="000000" w:themeColor="text1"/>
          <w:lang w:val="es-ES"/>
        </w:rPr>
        <w:t>, para el desarrollo de esta tipología turística</w:t>
      </w:r>
      <w:r w:rsidRPr="004A0D77">
        <w:rPr>
          <w:rFonts w:eastAsia="Times New Roman"/>
          <w:color w:val="000000" w:themeColor="text1"/>
          <w:lang w:val="es-ES"/>
        </w:rPr>
        <w:t xml:space="preserve"> en el departamento de La Guajira – Colombia.</w:t>
      </w:r>
    </w:p>
    <w:p w14:paraId="5F4302E5" w14:textId="77777777" w:rsidR="00E54FF8" w:rsidRPr="004A0D77" w:rsidRDefault="00E54FF8" w:rsidP="00E54FF8">
      <w:pPr>
        <w:jc w:val="both"/>
        <w:rPr>
          <w:color w:val="000000" w:themeColor="text1"/>
          <w:lang w:val="es-ES"/>
        </w:rPr>
      </w:pPr>
    </w:p>
    <w:p w14:paraId="28D2EC00" w14:textId="0D13714F" w:rsidR="00E54FF8" w:rsidRPr="004A0D77" w:rsidRDefault="00E54FF8" w:rsidP="00E54FF8">
      <w:pPr>
        <w:pStyle w:val="Prrafodelista"/>
        <w:numPr>
          <w:ilvl w:val="0"/>
          <w:numId w:val="34"/>
        </w:numPr>
        <w:jc w:val="both"/>
        <w:rPr>
          <w:rFonts w:eastAsia="Times New Roman"/>
          <w:color w:val="000000" w:themeColor="text1"/>
          <w:lang w:val="es-ES"/>
        </w:rPr>
      </w:pPr>
      <w:r w:rsidRPr="004A0D77">
        <w:rPr>
          <w:rFonts w:eastAsia="Times New Roman"/>
          <w:color w:val="000000" w:themeColor="text1"/>
          <w:lang w:val="es-ES"/>
        </w:rPr>
        <w:t xml:space="preserve"> ¿Cuales son </w:t>
      </w:r>
      <w:r w:rsidRPr="004A0D77">
        <w:rPr>
          <w:rFonts w:eastAsia="Times New Roman"/>
          <w:color w:val="000000" w:themeColor="text1"/>
          <w:lang w:val="es-ES"/>
        </w:rPr>
        <w:t xml:space="preserve"> los procesos y elementos de gestión de los operadores turísticos e</w:t>
      </w:r>
      <w:r w:rsidRPr="004A0D77">
        <w:rPr>
          <w:rFonts w:eastAsia="Times New Roman"/>
          <w:color w:val="000000" w:themeColor="text1"/>
          <w:lang w:val="es-ES"/>
        </w:rPr>
        <w:t>n el mercado del turismo étnico?</w:t>
      </w:r>
    </w:p>
    <w:p w14:paraId="59E47B82" w14:textId="77777777" w:rsidR="00646EAE" w:rsidRPr="004A0D77" w:rsidRDefault="00646EAE" w:rsidP="00646EAE">
      <w:pPr>
        <w:jc w:val="both"/>
        <w:rPr>
          <w:color w:val="000000" w:themeColor="text1"/>
          <w:lang w:val="es-ES"/>
        </w:rPr>
      </w:pPr>
    </w:p>
    <w:p w14:paraId="7C2F912D" w14:textId="03F71F3C" w:rsidR="004A0D77" w:rsidRPr="004A0D77" w:rsidRDefault="00646EAE" w:rsidP="00E54FF8">
      <w:pPr>
        <w:pStyle w:val="Prrafodelista"/>
        <w:numPr>
          <w:ilvl w:val="0"/>
          <w:numId w:val="34"/>
        </w:numPr>
        <w:jc w:val="both"/>
        <w:rPr>
          <w:rFonts w:eastAsia="Times New Roman"/>
          <w:color w:val="000000" w:themeColor="text1"/>
          <w:lang w:val="es-ES"/>
        </w:rPr>
      </w:pPr>
      <w:r w:rsidRPr="004A0D77">
        <w:rPr>
          <w:rFonts w:eastAsia="Times New Roman"/>
          <w:color w:val="000000" w:themeColor="text1"/>
          <w:lang w:val="es-ES"/>
        </w:rPr>
        <w:t>¿Cuales son las percepciones de los turistas en cuanto a la atención y servicio turístico ofrecido por los nativos wayuu?</w:t>
      </w:r>
    </w:p>
    <w:p w14:paraId="65B305CB" w14:textId="77777777" w:rsidR="004A0D77" w:rsidRDefault="004A0D77" w:rsidP="00BE6F71">
      <w:pPr>
        <w:pStyle w:val="Ttulo2"/>
        <w:numPr>
          <w:ilvl w:val="0"/>
          <w:numId w:val="0"/>
        </w:numPr>
        <w:rPr>
          <w:rFonts w:ascii="Times New Roman" w:hAnsi="Times New Roman" w:cs="Times New Roman"/>
          <w:i w:val="0"/>
          <w:color w:val="000000" w:themeColor="text1"/>
          <w:szCs w:val="24"/>
        </w:rPr>
      </w:pPr>
      <w:bookmarkStart w:id="2" w:name="_Toc467319766"/>
      <w:bookmarkStart w:id="3" w:name="_Toc467616431"/>
      <w:bookmarkEnd w:id="0"/>
      <w:bookmarkEnd w:id="1"/>
    </w:p>
    <w:p w14:paraId="37A56183" w14:textId="77777777" w:rsidR="004A0D77" w:rsidRDefault="004A0D77" w:rsidP="004A0D77"/>
    <w:p w14:paraId="5E9AB26F" w14:textId="77777777" w:rsidR="004A0D77" w:rsidRDefault="004A0D77" w:rsidP="004A0D77"/>
    <w:p w14:paraId="6FBC2FFA" w14:textId="77777777" w:rsidR="004A0D77" w:rsidRDefault="004A0D77" w:rsidP="004A0D77"/>
    <w:p w14:paraId="218979FD" w14:textId="77777777" w:rsidR="004A0D77" w:rsidRDefault="004A0D77" w:rsidP="004A0D77"/>
    <w:p w14:paraId="3219B59A" w14:textId="77777777" w:rsidR="004A0D77" w:rsidRDefault="004A0D77" w:rsidP="004A0D77"/>
    <w:p w14:paraId="1F58B4DB" w14:textId="77777777" w:rsidR="004A0D77" w:rsidRDefault="004A0D77" w:rsidP="004A0D77"/>
    <w:p w14:paraId="291EFC38" w14:textId="77777777" w:rsidR="004A0D77" w:rsidRPr="004A0D77" w:rsidRDefault="004A0D77" w:rsidP="004A0D77"/>
    <w:p w14:paraId="2AC47012" w14:textId="65AAF88E" w:rsidR="004A0D77" w:rsidRPr="000840E7" w:rsidRDefault="004A0D77" w:rsidP="000840E7">
      <w:pPr>
        <w:pStyle w:val="Prrafodelista"/>
        <w:numPr>
          <w:ilvl w:val="0"/>
          <w:numId w:val="41"/>
        </w:numPr>
        <w:spacing w:line="360" w:lineRule="auto"/>
        <w:jc w:val="center"/>
        <w:rPr>
          <w:b/>
          <w:color w:val="000000" w:themeColor="text1"/>
          <w:lang w:val="es-ES"/>
        </w:rPr>
      </w:pPr>
      <w:r w:rsidRPr="000840E7">
        <w:rPr>
          <w:b/>
          <w:color w:val="000000" w:themeColor="text1"/>
          <w:lang w:val="es-ES"/>
        </w:rPr>
        <w:lastRenderedPageBreak/>
        <w:t>REVISION DE LITERATURA</w:t>
      </w:r>
    </w:p>
    <w:p w14:paraId="5803300C" w14:textId="3789C907" w:rsidR="001803FB" w:rsidRPr="004A0D77" w:rsidRDefault="000840E7" w:rsidP="00BE6F71">
      <w:pPr>
        <w:pStyle w:val="Ttulo2"/>
        <w:numPr>
          <w:ilvl w:val="0"/>
          <w:numId w:val="0"/>
        </w:numPr>
        <w:rPr>
          <w:rFonts w:ascii="Times New Roman" w:hAnsi="Times New Roman" w:cs="Times New Roman"/>
          <w:i w:val="0"/>
          <w:color w:val="000000" w:themeColor="text1"/>
          <w:szCs w:val="24"/>
        </w:rPr>
      </w:pPr>
      <w:r>
        <w:rPr>
          <w:rFonts w:ascii="Times New Roman" w:hAnsi="Times New Roman" w:cs="Times New Roman"/>
          <w:i w:val="0"/>
          <w:color w:val="000000" w:themeColor="text1"/>
          <w:szCs w:val="24"/>
        </w:rPr>
        <w:t>2.1</w:t>
      </w:r>
      <w:r>
        <w:rPr>
          <w:rFonts w:ascii="Times New Roman" w:hAnsi="Times New Roman" w:cs="Times New Roman"/>
          <w:i w:val="0"/>
          <w:color w:val="000000" w:themeColor="text1"/>
          <w:szCs w:val="24"/>
        </w:rPr>
        <w:tab/>
      </w:r>
      <w:r w:rsidR="001803FB" w:rsidRPr="004A0D77">
        <w:rPr>
          <w:rFonts w:ascii="Times New Roman" w:hAnsi="Times New Roman" w:cs="Times New Roman"/>
          <w:i w:val="0"/>
          <w:color w:val="000000" w:themeColor="text1"/>
          <w:szCs w:val="24"/>
        </w:rPr>
        <w:t>Antecedentes del turismo mundial</w:t>
      </w:r>
      <w:bookmarkEnd w:id="2"/>
      <w:bookmarkEnd w:id="3"/>
    </w:p>
    <w:p w14:paraId="0D5719B9" w14:textId="77777777" w:rsidR="001803FB" w:rsidRPr="004A0D77" w:rsidRDefault="001803FB" w:rsidP="001803FB">
      <w:pPr>
        <w:pStyle w:val="parrafonormal"/>
        <w:spacing w:line="360" w:lineRule="auto"/>
        <w:rPr>
          <w:color w:val="000000" w:themeColor="text1"/>
          <w:lang w:eastAsia="en-US"/>
        </w:rPr>
      </w:pPr>
      <w:r w:rsidRPr="004A0D77">
        <w:rPr>
          <w:color w:val="000000" w:themeColor="text1"/>
          <w:lang w:eastAsia="en-US"/>
        </w:rPr>
        <w:t xml:space="preserve">La Organización Mundial del Turismo (OMT) señala que el turismo es un fenómeno social, cultural y económico relacionado con los desplazamientos de las personas a destinos que se encuentran fuera de su lugar de residencia habitual, normalmente por motivos de ocio, lo que hace que genere impactos en las economías de los países receptores y emisores, en el entorno natural, en los destinos y en la población receptora. Esta diversidad de impactos genera la necesidad de procesos de planificación que aborden dinámicas globales de desarrollo, gestión y supervisión. </w:t>
      </w:r>
      <w:r w:rsidRPr="004A0D77">
        <w:rPr>
          <w:color w:val="000000" w:themeColor="text1"/>
          <w:lang w:eastAsia="en-US"/>
        </w:rPr>
        <w:fldChar w:fldCharType="begin" w:fldLock="1"/>
      </w:r>
      <w:r w:rsidRPr="004A0D77">
        <w:rPr>
          <w:color w:val="000000" w:themeColor="text1"/>
          <w:lang w:eastAsia="en-US"/>
        </w:rPr>
        <w:instrText>ADDIN CSL_CITATION { "citationItems" : [ { "id" : "ITEM-1", "itemData" : { "ISBN" : "9789284416875", "author" : [ { "dropping-particle" : "", "family" : "Organizaci\u00f3n Mundial del Turismo", "given" : "", "non-dropping-particle" : "", "parse-names" : false, "suffix" : "" } ], "id" : "ITEM-1", "issued" : { "date-parts" : [ [ "2008" ] ] }, "title" : "Panorama OMT del turismo internacional, Edici\u00f3n 2015: Default Book Series", "type" : "article-journal" }, "uris" : [ "http://www.mendeley.com/documents/?uuid=8b8c9f2e-ab41-4a60-a9c0-40003767298e" ] } ], "mendeley" : { "formattedCitation" : "(Organizaci\u00f3n Mundial del Turismo, 2008)", "manualFormatting" : "(OMT, 2008.p.1)", "plainTextFormattedCitation" : "(Organizaci\u00f3n Mundial del Turismo, 2008)", "previouslyFormattedCitation" : "(Organizaci\u00f3n Mundial del Turismo, 2008)" }, "properties" : { "noteIndex" : 0 }, "schema" : "https://github.com/citation-style-language/schema/raw/master/csl-citation.json" }</w:instrText>
      </w:r>
      <w:r w:rsidRPr="004A0D77">
        <w:rPr>
          <w:color w:val="000000" w:themeColor="text1"/>
          <w:lang w:eastAsia="en-US"/>
        </w:rPr>
        <w:fldChar w:fldCharType="separate"/>
      </w:r>
      <w:r w:rsidRPr="004A0D77">
        <w:rPr>
          <w:noProof/>
          <w:color w:val="000000" w:themeColor="text1"/>
          <w:lang w:eastAsia="en-US"/>
        </w:rPr>
        <w:t>(OMT, 2008.p.1)</w:t>
      </w:r>
      <w:r w:rsidRPr="004A0D77">
        <w:rPr>
          <w:color w:val="000000" w:themeColor="text1"/>
          <w:lang w:eastAsia="en-US"/>
        </w:rPr>
        <w:fldChar w:fldCharType="end"/>
      </w:r>
    </w:p>
    <w:p w14:paraId="61828E1F" w14:textId="77777777" w:rsidR="001803FB" w:rsidRPr="004A0D77" w:rsidRDefault="001803FB" w:rsidP="001803FB">
      <w:pPr>
        <w:spacing w:after="240" w:line="360" w:lineRule="auto"/>
        <w:jc w:val="both"/>
        <w:rPr>
          <w:color w:val="000000" w:themeColor="text1"/>
          <w:lang w:val="es-ES"/>
        </w:rPr>
      </w:pPr>
      <w:r w:rsidRPr="004A0D77">
        <w:rPr>
          <w:color w:val="000000" w:themeColor="text1"/>
          <w:lang w:val="es-ES"/>
        </w:rPr>
        <w:t xml:space="preserve">El turismo es definido por </w:t>
      </w:r>
      <w:r w:rsidRPr="004A0D77">
        <w:rPr>
          <w:color w:val="000000" w:themeColor="text1"/>
          <w:lang w:val="es-ES"/>
        </w:rPr>
        <w:fldChar w:fldCharType="begin" w:fldLock="1"/>
      </w:r>
      <w:r w:rsidRPr="004A0D77">
        <w:rPr>
          <w:color w:val="000000" w:themeColor="text1"/>
          <w:lang w:val="es-ES"/>
        </w:rPr>
        <w:instrText>ADDIN CSL_CITATION { "citationItems" : [ { "id" : "ITEM-1", "itemData" : { "author" : [ { "dropping-particle" : "", "family" : "Bormann", "given" : "Arthur", "non-dropping-particle" : "", "parse-names" : false, "suffix" : "" } ], "id" : "ITEM-1", "issued" : { "date-parts" : [ [ "1931" ] ] }, "page" : "7-9", "title" : "Die Lehre vom Fremdenverkehr. Verkehrswissenschaftliche Lehrmittelgesellschaft bei der Deutschen Reichsbahn.", "type" : "article-journal" }, "uris" : [ "http://www.mendeley.com/documents/?uuid=c0a3a13f-92fb-4f67-9efa-7bd4f46a405c" ] } ], "mendeley" : { "formattedCitation" : "(Bormann, 1931)", "manualFormatting" : "Bormann (1931)", "plainTextFormattedCitation" : "(Bormann, 1931)", "previouslyFormattedCitation" : "(Bormann, 1931)" }, "properties" : { "noteIndex" : 0 }, "schema" : "https://github.com/citation-style-language/schema/raw/master/csl-citation.json" }</w:instrText>
      </w:r>
      <w:r w:rsidRPr="004A0D77">
        <w:rPr>
          <w:color w:val="000000" w:themeColor="text1"/>
          <w:lang w:val="es-ES"/>
        </w:rPr>
        <w:fldChar w:fldCharType="separate"/>
      </w:r>
      <w:r w:rsidRPr="004A0D77">
        <w:rPr>
          <w:noProof/>
          <w:color w:val="000000" w:themeColor="text1"/>
          <w:lang w:val="es-ES"/>
        </w:rPr>
        <w:t>Bormann (1931)</w:t>
      </w:r>
      <w:r w:rsidRPr="004A0D77">
        <w:rPr>
          <w:color w:val="000000" w:themeColor="text1"/>
          <w:lang w:val="es-ES"/>
        </w:rPr>
        <w:fldChar w:fldCharType="end"/>
      </w:r>
      <w:r w:rsidRPr="004A0D77">
        <w:rPr>
          <w:color w:val="000000" w:themeColor="text1"/>
          <w:lang w:val="es-ES"/>
        </w:rPr>
        <w:t xml:space="preserve"> como el conjunto de los viajes cuyo objetivo es el placer o por motivos comerciales o profesionales y otros análogos y durante los cuales la ausencia de la residencia habitual es temporal.</w:t>
      </w:r>
    </w:p>
    <w:p w14:paraId="689312C7" w14:textId="77777777" w:rsidR="001803FB" w:rsidRPr="004A0D77" w:rsidRDefault="001803FB" w:rsidP="001803FB">
      <w:pPr>
        <w:spacing w:line="360" w:lineRule="auto"/>
        <w:jc w:val="both"/>
        <w:rPr>
          <w:color w:val="000000" w:themeColor="text1"/>
          <w:lang w:val="es-ES"/>
        </w:rPr>
      </w:pPr>
      <w:r w:rsidRPr="004A0D77">
        <w:rPr>
          <w:color w:val="000000" w:themeColor="text1"/>
          <w:lang w:val="es-ES"/>
        </w:rPr>
        <w:t xml:space="preserve">Según </w:t>
      </w:r>
      <w:r w:rsidRPr="004A0D77">
        <w:rPr>
          <w:color w:val="000000" w:themeColor="text1"/>
          <w:lang w:val="es-ES"/>
        </w:rPr>
        <w:fldChar w:fldCharType="begin" w:fldLock="1"/>
      </w:r>
      <w:r w:rsidRPr="004A0D77">
        <w:rPr>
          <w:color w:val="000000" w:themeColor="text1"/>
          <w:lang w:val="es-ES"/>
        </w:rPr>
        <w:instrText>ADDIN CSL_CITATION { "citationItems" : [ { "id" : "ITEM-1", "itemData" : { "DOI" : "10.1016/j.sumneg.2015.08.005", "ISSN" : "2215910X", "abstract" : "This paper aims to provide the key elements of the Colombian tourism policy over the last decade. This policy was initiated at the same time as the policy of democratic security, where through a stronger presence of the security institutions it was intended to create a favorable environment for investment and tourism. In this sense, receptive tourism policy in Colombia is directed at improving competitiveness indicators based on use of the advantages of opportunity of the country. This paper focuses on instruments of tourism policy, particularly in regard to the Colombian receptive tourism services, exploring its impact on the competitiveness of the sector and its future impact.", "author" : [ { "dropping-particle" : "", "family" : "Benavides", "given" : "Giovanny Fernando", "non-dropping-particle" : "", "parse-names" : false, "suffix" : "" } ], "container-title" : "Suma de Negocios", "id" : "ITEM-1", "issue" : "13", "issued" : { "date-parts" : [ [ "2015" ] ] }, "page" : "66-73", "publisher" : "Fundaci\u00f3n Universitaria Konrad Lorenz", "title" : "Las pol\u00edticas p\u00fablicas del turismo receptivo colombiano", "type" : "article-journal", "volume" : "6" }, "uris" : [ "http://www.mendeley.com/documents/?uuid=bf611665-b70f-4940-9db8-8493526f3ad9" ] } ], "mendeley" : { "formattedCitation" : "(Benavides, 2015)", "manualFormatting" : "Benavides (2015)", "plainTextFormattedCitation" : "(Benavides, 2015)", "previouslyFormattedCitation" : "(Benavides, 2015)" }, "properties" : { "noteIndex" : 0 }, "schema" : "https://github.com/citation-style-language/schema/raw/master/csl-citation.json" }</w:instrText>
      </w:r>
      <w:r w:rsidRPr="004A0D77">
        <w:rPr>
          <w:color w:val="000000" w:themeColor="text1"/>
          <w:lang w:val="es-ES"/>
        </w:rPr>
        <w:fldChar w:fldCharType="separate"/>
      </w:r>
      <w:r w:rsidRPr="004A0D77">
        <w:rPr>
          <w:noProof/>
          <w:color w:val="000000" w:themeColor="text1"/>
          <w:lang w:val="es-ES"/>
        </w:rPr>
        <w:t>Benavides (2015)</w:t>
      </w:r>
      <w:r w:rsidRPr="004A0D77">
        <w:rPr>
          <w:color w:val="000000" w:themeColor="text1"/>
          <w:lang w:val="es-ES"/>
        </w:rPr>
        <w:fldChar w:fldCharType="end"/>
      </w:r>
      <w:r w:rsidRPr="004A0D77">
        <w:rPr>
          <w:color w:val="000000" w:themeColor="text1"/>
          <w:lang w:val="es-ES"/>
        </w:rPr>
        <w:t xml:space="preserve"> hablar de turismo implica, de una parte, referirnos realmente a un paquete de servicios complejo que, en última instancia, hacen del turismo una experiencia que requiere que varias condiciones sean satisfechas simultáneamente. </w:t>
      </w:r>
    </w:p>
    <w:p w14:paraId="6D443C20" w14:textId="77777777" w:rsidR="001803FB" w:rsidRPr="004A0D77" w:rsidRDefault="001803FB" w:rsidP="001803FB">
      <w:pPr>
        <w:spacing w:line="360" w:lineRule="auto"/>
        <w:jc w:val="both"/>
        <w:rPr>
          <w:color w:val="000000" w:themeColor="text1"/>
          <w:lang w:val="es-ES"/>
        </w:rPr>
      </w:pPr>
    </w:p>
    <w:p w14:paraId="6DC37DAD" w14:textId="77777777" w:rsidR="001803FB" w:rsidRPr="004A0D77" w:rsidRDefault="001803FB" w:rsidP="001803FB">
      <w:pPr>
        <w:spacing w:line="360" w:lineRule="auto"/>
        <w:jc w:val="both"/>
        <w:rPr>
          <w:color w:val="000000" w:themeColor="text1"/>
          <w:lang w:val="es-ES"/>
        </w:rPr>
      </w:pPr>
      <w:r w:rsidRPr="004A0D77">
        <w:rPr>
          <w:color w:val="000000" w:themeColor="text1"/>
          <w:lang w:val="es-ES"/>
        </w:rPr>
        <w:t>El producto turístico es considerado como un “</w:t>
      </w:r>
      <w:r w:rsidRPr="004A0D77">
        <w:rPr>
          <w:i/>
          <w:color w:val="000000" w:themeColor="text1"/>
          <w:lang w:val="es-ES"/>
        </w:rPr>
        <w:t>Conjunto de factores materiales e inmateriales que pueden comercializarse aislados o agregados, según que el cliente-turista solicite una parte o un todo heterogéneo de los bienes y servicios ofertados, que se consume con la presencia del cliente en el marco de una zona turística receptiva, y que se espera cubra suficientemente las necesidades vacacionales y de ocio del comprador</w:t>
      </w:r>
      <w:r w:rsidRPr="004A0D77">
        <w:rPr>
          <w:color w:val="000000" w:themeColor="text1"/>
          <w:lang w:val="es-ES"/>
        </w:rPr>
        <w:t xml:space="preserve">” </w:t>
      </w:r>
      <w:r w:rsidRPr="004A0D77">
        <w:rPr>
          <w:color w:val="000000" w:themeColor="text1"/>
          <w:lang w:val="es-ES"/>
        </w:rPr>
        <w:fldChar w:fldCharType="begin" w:fldLock="1"/>
      </w:r>
      <w:r w:rsidRPr="004A0D77">
        <w:rPr>
          <w:color w:val="000000" w:themeColor="text1"/>
          <w:lang w:val="es-ES"/>
        </w:rPr>
        <w:instrText>ADDIN CSL_CITATION { "citationItems" : [ { "id" : "ITEM-1", "itemData" : { "ISBN" : "84-490-2262-2;84-8021-369-8;84-88042-36-1;84-370-5263-7", "abstract" : "M\u00e9xico lindo y querido... \u2013El consumidor mexicano por: Laura Ruvalcaba CEO BRAIN No es septiembre, no tengo ning\u00fan timbre de Mem\u00edn Pingu\u00edn (que me hubiera encantado tener varios) y a\u00fan a pesar de Andr\u00e9s Manuel, me brot\u00f3 lo patriota. Pero no s\u00f3lo en los festejos, sino en el conocimiento y el estudio de los mexicanos. Hace poco, platicando con diferentes personas, coincidimos en que existe realmente poca informaci\u00f3n compilada y compartida sobre c\u00f3mo somos los consumidores mexicanos hoy en d\u00eda. Es incre\u00edble c\u00f3mo la labor diaria de nosotros los investigadores es, todo el tiempo, preguntar qu\u00e9, c\u00f3mo, cu\u00e1ndo, por qu\u00e9, a qu\u00e9 hora, qu\u00e9 sentiste, por qu\u00e9 no compraste, por qu\u00e9 s\u00ed, y qu\u00e9 hubiera pasado si, etc., etc., etc. Somos perfectos \" Metich\u00f3logos \" . Es una deliciosa pasi\u00f3n enfermiza, \u00e9sta la de meterse en la vida de todos. Pero raras veces nos sentamos a organizar toda la informaci\u00f3n con la que contamos y si lo hacemos, es a\u00fan m\u00e1s dif\u00edcil que la compartamos. Bien, como dice una amiga, It's payback time.", "author" : [ { "dropping-particle" : "", "family" : "Borja", "given" : "Sole", "non-dropping-particle" : "De", "parse-names" : false, "suffix" : "" }, { "dropping-particle" : "", "family" : "Casanovas", "given" : "Pla", "non-dropping-particle" : "", "parse-names" : false, "suffix" : "" }, { "dropping-particle" : "", "family" : "Camprubi", "given" : "Ramon", "non-dropping-particle" : "", "parse-names" : false, "suffix" : "" } ], "editor" : [ { "dropping-particle" : "", "family" : "Esic Edictorial", "given" : "", "non-dropping-particle" : "", "parse-names" : false, "suffix" : "" } ], "id" : "ITEM-1", "issued" : { "date-parts" : [ [ "2002" ] ] }, "number-of-pages" : "66-69", "publisher-place" : "Pozuelos de Alarcon, Madrid", "title" : "El consumidor turistico", "type" : "book" }, "uris" : [ "http://www.mendeley.com/documents/?uuid=853501da-26cc-4c7c-a7d2-9b3a7e45d062" ] } ], "mendeley" : { "formattedCitation" : "(De Borja, Casanovas, &amp; Camprubi, 2002)", "manualFormatting" : "(De Borja, Casanovas, y Camprubi, 2002)", "plainTextFormattedCitation" : "(De Borja, Casanovas, &amp; Camprubi, 2002)", "previouslyFormattedCitation" : "(De Borja, Casanovas, &amp; Camprubi, 2002)" }, "properties" : { "noteIndex" : 0 }, "schema" : "https://github.com/citation-style-language/schema/raw/master/csl-citation.json" }</w:instrText>
      </w:r>
      <w:r w:rsidRPr="004A0D77">
        <w:rPr>
          <w:color w:val="000000" w:themeColor="text1"/>
          <w:lang w:val="es-ES"/>
        </w:rPr>
        <w:fldChar w:fldCharType="separate"/>
      </w:r>
      <w:r w:rsidRPr="004A0D77">
        <w:rPr>
          <w:noProof/>
          <w:color w:val="000000" w:themeColor="text1"/>
          <w:lang w:val="es-ES"/>
        </w:rPr>
        <w:t>(De Borja, Casanovas, y Camprubi, 2002)</w:t>
      </w:r>
      <w:r w:rsidRPr="004A0D77">
        <w:rPr>
          <w:color w:val="000000" w:themeColor="text1"/>
          <w:lang w:val="es-ES"/>
        </w:rPr>
        <w:fldChar w:fldCharType="end"/>
      </w:r>
    </w:p>
    <w:p w14:paraId="7FB93EF8" w14:textId="77777777" w:rsidR="001803FB" w:rsidRPr="004A0D77" w:rsidRDefault="001803FB" w:rsidP="001803FB">
      <w:pPr>
        <w:spacing w:line="360" w:lineRule="auto"/>
        <w:jc w:val="both"/>
        <w:rPr>
          <w:color w:val="000000" w:themeColor="text1"/>
          <w:lang w:val="es-ES"/>
        </w:rPr>
      </w:pPr>
    </w:p>
    <w:p w14:paraId="3ADF2FB4" w14:textId="13A9C5C6" w:rsidR="001803FB" w:rsidRPr="004A0D77" w:rsidRDefault="001803FB" w:rsidP="001803FB">
      <w:pPr>
        <w:spacing w:line="360" w:lineRule="auto"/>
        <w:jc w:val="both"/>
        <w:rPr>
          <w:color w:val="000000" w:themeColor="text1"/>
          <w:szCs w:val="22"/>
          <w:lang w:val="es-ES"/>
        </w:rPr>
      </w:pPr>
      <w:r w:rsidRPr="004A0D77">
        <w:rPr>
          <w:color w:val="000000" w:themeColor="text1"/>
          <w:szCs w:val="22"/>
          <w:lang w:val="es-ES"/>
        </w:rPr>
        <w:t>Según la organización Mundial del Turismo internacional (OMT) durante el primer cuatrimestre del 2016 los destinos turísticos internacionales recibieron por lo menos 348 millones de turistas, logrando un crecimiento sostenido de por lo menos  4% en los últim</w:t>
      </w:r>
      <w:r w:rsidR="004A395B" w:rsidRPr="004A0D77">
        <w:rPr>
          <w:color w:val="000000" w:themeColor="text1"/>
          <w:szCs w:val="22"/>
          <w:lang w:val="es-ES"/>
        </w:rPr>
        <w:t>os siete años.</w:t>
      </w:r>
    </w:p>
    <w:p w14:paraId="22498754" w14:textId="77777777" w:rsidR="001803FB" w:rsidRPr="004A0D77" w:rsidRDefault="001803FB" w:rsidP="001803FB">
      <w:pPr>
        <w:spacing w:line="360" w:lineRule="auto"/>
        <w:ind w:left="360"/>
        <w:jc w:val="both"/>
        <w:rPr>
          <w:color w:val="000000" w:themeColor="text1"/>
          <w:lang w:val="es-ES"/>
        </w:rPr>
      </w:pPr>
    </w:p>
    <w:p w14:paraId="79D977D4" w14:textId="77777777" w:rsidR="001803FB" w:rsidRPr="004A0D77" w:rsidRDefault="001803FB" w:rsidP="001803FB">
      <w:pPr>
        <w:spacing w:line="360" w:lineRule="auto"/>
        <w:jc w:val="both"/>
        <w:rPr>
          <w:color w:val="000000" w:themeColor="text1"/>
          <w:lang w:val="es-ES"/>
        </w:rPr>
      </w:pPr>
      <w:r w:rsidRPr="004A0D77">
        <w:rPr>
          <w:color w:val="000000" w:themeColor="text1"/>
          <w:lang w:val="es-ES"/>
        </w:rPr>
        <w:lastRenderedPageBreak/>
        <w:t xml:space="preserve">Es evidente el crecimiento sostenido del turismo a nivel mundial y sus efectos sobre las economías de las naciones. Aunque no existe ninguna relación causal entre la expansión del turismo y el crecimiento económico es indiscutible las apuestas de los territorios a estrategias para el  fomento y divulgación de sus destinos turísticos </w:t>
      </w:r>
      <w:r w:rsidRPr="004A0D77">
        <w:rPr>
          <w:color w:val="000000" w:themeColor="text1"/>
          <w:lang w:val="es-ES"/>
        </w:rPr>
        <w:fldChar w:fldCharType="begin" w:fldLock="1"/>
      </w:r>
      <w:r w:rsidRPr="004A0D77">
        <w:rPr>
          <w:color w:val="000000" w:themeColor="text1"/>
          <w:lang w:val="es-ES"/>
        </w:rPr>
        <w:instrText>ADDIN CSL_CITATION { "citationItems" : [ { "id" : "ITEM-1", "itemData" : { "DOI" : "10.1016/j.tourman.2008.12.013", "ISBN" : "0261-5177", "ISSN" : "02615177", "abstract" : "This study examines the causal relationship between tourism expansion and economic growth in two Asian countries: Taiwan and South Korea. An EGARCH-M model with uncertainty factors is employed to examine the direction of causality between tourism expansion and economic growth, as well as the impulse impacts of uncertainty on both variables. The results indicate that the tourism-led economic growth hypothesis is supported for Taiwan while a reciprocal causal relationship is found for South Korea. The significant impacts of uncertainty on growth are also identified. \u00a9 2009 Elsevier Ltd. All rights reserved.", "author" : [ { "dropping-particle" : "", "family" : "Chen", "given" : "Ching Fu", "non-dropping-particle" : "", "parse-names" : false, "suffix" : "" }, { "dropping-particle" : "", "family" : "Chiou-Wei", "given" : "Song Zan", "non-dropping-particle" : "", "parse-names" : false, "suffix" : "" } ], "container-title" : "Tourism Management", "id" : "ITEM-1", "issue" : "6", "issued" : { "date-parts" : [ [ "2009" ] ] }, "page" : "812-818", "publisher" : "Elsevier Ltd", "title" : "Tourism expansion, tourism uncertainty and economic growth: New evidence from Taiwan and Korea", "type" : "article-journal", "volume" : "30" }, "uris" : [ "http://www.mendeley.com/documents/?uuid=b3dddf85-20cf-42cc-8c7d-c97d743da186" ] } ], "mendeley" : { "formattedCitation" : "(Chen &amp; Chiou-Wei, 2009)", "manualFormatting" : "(Chen y Chiou-Wei, 2009)", "plainTextFormattedCitation" : "(Chen &amp; Chiou-Wei, 2009)", "previouslyFormattedCitation" : "(Chen &amp; Chiou-Wei, 2009)" }, "properties" : { "noteIndex" : 0 }, "schema" : "https://github.com/citation-style-language/schema/raw/master/csl-citation.json" }</w:instrText>
      </w:r>
      <w:r w:rsidRPr="004A0D77">
        <w:rPr>
          <w:color w:val="000000" w:themeColor="text1"/>
          <w:lang w:val="es-ES"/>
        </w:rPr>
        <w:fldChar w:fldCharType="separate"/>
      </w:r>
      <w:r w:rsidRPr="004A0D77">
        <w:rPr>
          <w:noProof/>
          <w:color w:val="000000" w:themeColor="text1"/>
          <w:lang w:val="es-ES"/>
        </w:rPr>
        <w:t>(Chen y Chiou-Wei, 2009)</w:t>
      </w:r>
      <w:r w:rsidRPr="004A0D77">
        <w:rPr>
          <w:color w:val="000000" w:themeColor="text1"/>
          <w:lang w:val="es-ES"/>
        </w:rPr>
        <w:fldChar w:fldCharType="end"/>
      </w:r>
      <w:r w:rsidRPr="004A0D77">
        <w:rPr>
          <w:color w:val="000000" w:themeColor="text1"/>
          <w:lang w:val="es-ES"/>
        </w:rPr>
        <w:t xml:space="preserve">. </w:t>
      </w:r>
    </w:p>
    <w:p w14:paraId="22A0258A" w14:textId="343E7714" w:rsidR="001803FB" w:rsidRPr="004A0D77" w:rsidRDefault="000840E7" w:rsidP="000C1055">
      <w:pPr>
        <w:pStyle w:val="Ttulo3"/>
        <w:numPr>
          <w:ilvl w:val="0"/>
          <w:numId w:val="0"/>
        </w:numPr>
        <w:ind w:left="720" w:hanging="720"/>
        <w:rPr>
          <w:rFonts w:ascii="Times New Roman" w:hAnsi="Times New Roman" w:cs="Times New Roman"/>
          <w:color w:val="000000" w:themeColor="text1"/>
          <w:sz w:val="24"/>
          <w:szCs w:val="24"/>
        </w:rPr>
      </w:pPr>
      <w:bookmarkStart w:id="4" w:name="_Toc467616432"/>
      <w:r>
        <w:rPr>
          <w:rFonts w:ascii="Times New Roman" w:hAnsi="Times New Roman" w:cs="Times New Roman"/>
          <w:color w:val="000000" w:themeColor="text1"/>
          <w:sz w:val="24"/>
          <w:szCs w:val="24"/>
        </w:rPr>
        <w:t>2.1.1</w:t>
      </w:r>
      <w:r>
        <w:rPr>
          <w:rFonts w:ascii="Times New Roman" w:hAnsi="Times New Roman" w:cs="Times New Roman"/>
          <w:color w:val="000000" w:themeColor="text1"/>
          <w:sz w:val="24"/>
          <w:szCs w:val="24"/>
        </w:rPr>
        <w:tab/>
      </w:r>
      <w:r w:rsidR="001803FB" w:rsidRPr="004A0D77">
        <w:rPr>
          <w:rFonts w:ascii="Times New Roman" w:hAnsi="Times New Roman" w:cs="Times New Roman"/>
          <w:color w:val="000000" w:themeColor="text1"/>
          <w:sz w:val="24"/>
          <w:szCs w:val="24"/>
        </w:rPr>
        <w:t>La actividad turística en Colombia</w:t>
      </w:r>
      <w:bookmarkEnd w:id="4"/>
    </w:p>
    <w:p w14:paraId="74CCE2B7" w14:textId="42A40EA1" w:rsidR="001803FB" w:rsidRPr="004A0D77" w:rsidRDefault="001803FB" w:rsidP="001803FB">
      <w:pPr>
        <w:pStyle w:val="parrafonormal"/>
        <w:spacing w:line="360" w:lineRule="auto"/>
        <w:contextualSpacing/>
        <w:rPr>
          <w:i/>
          <w:color w:val="000000" w:themeColor="text1"/>
          <w:lang w:eastAsia="en-US"/>
        </w:rPr>
      </w:pPr>
      <w:r w:rsidRPr="004A0D77">
        <w:rPr>
          <w:color w:val="000000" w:themeColor="text1"/>
          <w:lang w:eastAsia="en-US"/>
        </w:rPr>
        <w:t xml:space="preserve">En Colombia la actividad turística toma su mayor impulso con la creación de la Ley 60 de 1968 la cual tenia como objeto principal </w:t>
      </w:r>
      <w:r w:rsidRPr="004A0D77">
        <w:rPr>
          <w:color w:val="000000" w:themeColor="text1"/>
        </w:rPr>
        <w:t xml:space="preserve"> </w:t>
      </w:r>
      <w:r w:rsidRPr="004A0D77">
        <w:rPr>
          <w:i/>
          <w:color w:val="000000" w:themeColor="text1"/>
          <w:lang w:eastAsia="en-US"/>
        </w:rPr>
        <w:t xml:space="preserve">“el fomento y la protección del turismo que, como fuente generadora de divisas y como actividad que origina trabajo nacional, es industria fundamental para el desarrollo económico del país y será especialmente protegida por el Estado”. </w:t>
      </w:r>
      <w:r w:rsidRPr="004A0D77">
        <w:rPr>
          <w:color w:val="000000" w:themeColor="text1"/>
          <w:lang w:eastAsia="en-US"/>
        </w:rPr>
        <w:t xml:space="preserve">Desde este momento se empieza a vislumbrar en el país la actividad turística como un elemento estratégico de desarrollo económico y prosperidad social. </w:t>
      </w:r>
    </w:p>
    <w:p w14:paraId="73228089" w14:textId="77777777" w:rsidR="001803FB" w:rsidRPr="004A0D77" w:rsidRDefault="001803FB" w:rsidP="001803FB">
      <w:pPr>
        <w:pStyle w:val="parrafonormal"/>
        <w:spacing w:line="360" w:lineRule="auto"/>
        <w:contextualSpacing/>
        <w:rPr>
          <w:i/>
          <w:color w:val="000000" w:themeColor="text1"/>
          <w:lang w:eastAsia="en-US"/>
        </w:rPr>
      </w:pPr>
    </w:p>
    <w:p w14:paraId="0DAA03EE" w14:textId="050BDC85" w:rsidR="001803FB" w:rsidRPr="004A0D77" w:rsidRDefault="001803FB" w:rsidP="001803FB">
      <w:pPr>
        <w:spacing w:line="360" w:lineRule="auto"/>
        <w:contextualSpacing/>
        <w:jc w:val="both"/>
        <w:rPr>
          <w:color w:val="000000" w:themeColor="text1"/>
          <w:szCs w:val="22"/>
          <w:lang w:val="es-ES"/>
        </w:rPr>
      </w:pPr>
      <w:r w:rsidRPr="004A0D77">
        <w:rPr>
          <w:color w:val="000000" w:themeColor="text1"/>
          <w:szCs w:val="22"/>
          <w:lang w:val="es-ES"/>
        </w:rPr>
        <w:t>Posteriormente se crea la Ley 300 de 1996, esta le atribuye la formulación de la Política y Planeación de Turismo al Mini</w:t>
      </w:r>
      <w:r w:rsidR="00D07943" w:rsidRPr="004A0D77">
        <w:rPr>
          <w:color w:val="000000" w:themeColor="text1"/>
          <w:szCs w:val="22"/>
          <w:lang w:val="es-ES"/>
        </w:rPr>
        <w:t>st</w:t>
      </w:r>
      <w:r w:rsidR="000C1055" w:rsidRPr="004A0D77">
        <w:rPr>
          <w:color w:val="000000" w:themeColor="text1"/>
          <w:szCs w:val="22"/>
          <w:lang w:val="es-ES"/>
        </w:rPr>
        <w:t>erio de Desarrollo Económico. E</w:t>
      </w:r>
      <w:r w:rsidR="00D07943" w:rsidRPr="004A0D77">
        <w:rPr>
          <w:color w:val="000000" w:themeColor="text1"/>
          <w:szCs w:val="22"/>
          <w:lang w:val="es-ES"/>
        </w:rPr>
        <w:t>sta</w:t>
      </w:r>
      <w:r w:rsidRPr="004A0D77">
        <w:rPr>
          <w:color w:val="000000" w:themeColor="text1"/>
          <w:szCs w:val="22"/>
          <w:lang w:val="es-ES"/>
        </w:rPr>
        <w:t xml:space="preserve"> considera el turismo como una industria esencial para el desarrollo del país y en especial para las entidades territoriales, regiones y provincias y, debe contener los elementos que permitan fortalecer la competitividad del sector, con el objetivo de que el turismo encuentre condiciones favorables para su desarrollo en los ámbitos social, económico, cultural y ambiental. </w:t>
      </w:r>
    </w:p>
    <w:p w14:paraId="37A55260" w14:textId="77777777" w:rsidR="00D07943" w:rsidRPr="004A0D77" w:rsidRDefault="00D07943" w:rsidP="001803FB">
      <w:pPr>
        <w:spacing w:line="360" w:lineRule="auto"/>
        <w:contextualSpacing/>
        <w:jc w:val="both"/>
        <w:rPr>
          <w:color w:val="000000" w:themeColor="text1"/>
          <w:szCs w:val="22"/>
          <w:lang w:val="es-ES"/>
        </w:rPr>
      </w:pPr>
    </w:p>
    <w:p w14:paraId="50AE0EE0" w14:textId="0AB3FA6F" w:rsidR="001803FB" w:rsidRPr="004A0D77" w:rsidRDefault="001803FB" w:rsidP="00DA1AF5">
      <w:pPr>
        <w:widowControl w:val="0"/>
        <w:autoSpaceDE w:val="0"/>
        <w:autoSpaceDN w:val="0"/>
        <w:adjustRightInd w:val="0"/>
        <w:spacing w:after="240" w:line="360" w:lineRule="auto"/>
        <w:jc w:val="both"/>
        <w:rPr>
          <w:color w:val="000000" w:themeColor="text1"/>
          <w:lang w:val="es-ES"/>
        </w:rPr>
      </w:pPr>
      <w:r w:rsidRPr="004A0D77">
        <w:rPr>
          <w:color w:val="000000" w:themeColor="text1"/>
          <w:lang w:val="es-ES"/>
        </w:rPr>
        <w:t>Sin embargo en  el año 2012 con la creación de la Ley 1558 se modifica la ley 300 de 1996 orientando la importancia de la industria turística y atribuyéndole la función social propia de esta actividad, se otorgan responsabilidades a los entes territoriales (Departamentos, Regiones, Distrito Capital, Distritos, Municipios y a las comunidades indígenas) a la elaboración de Planes Sectoriales de Desarrollo turístico y articularlos con el plan sectorial de turismo y el cual debe formar parte del plan nacional de desarrollo.</w:t>
      </w:r>
    </w:p>
    <w:p w14:paraId="407D9153" w14:textId="359B3D15" w:rsidR="001803FB" w:rsidRPr="004A0D77" w:rsidRDefault="001803FB" w:rsidP="00DA1AF5">
      <w:pPr>
        <w:widowControl w:val="0"/>
        <w:autoSpaceDE w:val="0"/>
        <w:autoSpaceDN w:val="0"/>
        <w:adjustRightInd w:val="0"/>
        <w:spacing w:after="240" w:line="360" w:lineRule="auto"/>
        <w:jc w:val="both"/>
        <w:rPr>
          <w:color w:val="000000" w:themeColor="text1"/>
          <w:lang w:val="es-ES"/>
        </w:rPr>
      </w:pPr>
      <w:r w:rsidRPr="004A0D77">
        <w:rPr>
          <w:color w:val="000000" w:themeColor="text1"/>
          <w:lang w:val="es-ES"/>
        </w:rPr>
        <w:t xml:space="preserve">Con la creación en el año 2002 del documento denominado “Visión 2020” del Turismo se plantea que el país consolidará una cultura turística en la sociedad: “el turismo habrá́ contribuido a preservar los valores sociales y patrimoniales y será́ un elemento fundamental para generar orgullo nacional. Las comunidades se habrán vinculado a la actividad turística, </w:t>
      </w:r>
      <w:r w:rsidRPr="004A0D77">
        <w:rPr>
          <w:color w:val="000000" w:themeColor="text1"/>
          <w:lang w:val="es-ES"/>
        </w:rPr>
        <w:lastRenderedPageBreak/>
        <w:t xml:space="preserve">beneficiándose del desarrollo que proporciona esta industria. </w:t>
      </w:r>
    </w:p>
    <w:p w14:paraId="7721588C" w14:textId="32C1A615" w:rsidR="001803FB" w:rsidRPr="004A0D77" w:rsidRDefault="000840E7" w:rsidP="001803FB">
      <w:pPr>
        <w:pStyle w:val="Ttulo2"/>
        <w:numPr>
          <w:ilvl w:val="0"/>
          <w:numId w:val="0"/>
        </w:numPr>
        <w:ind w:left="576" w:hanging="576"/>
        <w:rPr>
          <w:rFonts w:ascii="Times New Roman" w:hAnsi="Times New Roman" w:cs="Times New Roman"/>
          <w:i w:val="0"/>
          <w:color w:val="000000" w:themeColor="text1"/>
        </w:rPr>
      </w:pPr>
      <w:bookmarkStart w:id="5" w:name="_Toc467616435"/>
      <w:r>
        <w:rPr>
          <w:rFonts w:ascii="Times New Roman" w:hAnsi="Times New Roman" w:cs="Times New Roman"/>
          <w:i w:val="0"/>
          <w:color w:val="000000" w:themeColor="text1"/>
        </w:rPr>
        <w:t>2.1.2</w:t>
      </w:r>
      <w:r>
        <w:rPr>
          <w:rFonts w:ascii="Times New Roman" w:hAnsi="Times New Roman" w:cs="Times New Roman"/>
          <w:i w:val="0"/>
          <w:color w:val="000000" w:themeColor="text1"/>
        </w:rPr>
        <w:tab/>
      </w:r>
      <w:r w:rsidR="001803FB" w:rsidRPr="004A0D77">
        <w:rPr>
          <w:rFonts w:ascii="Times New Roman" w:hAnsi="Times New Roman" w:cs="Times New Roman"/>
          <w:i w:val="0"/>
          <w:color w:val="000000" w:themeColor="text1"/>
        </w:rPr>
        <w:t>Aspectos Generales del departamento de La Guajira</w:t>
      </w:r>
      <w:bookmarkEnd w:id="5"/>
    </w:p>
    <w:p w14:paraId="10708A58" w14:textId="439234DC" w:rsidR="001803FB" w:rsidRPr="004A0D77" w:rsidRDefault="001803FB" w:rsidP="003E4323">
      <w:pPr>
        <w:pStyle w:val="NormalWeb"/>
        <w:spacing w:line="360" w:lineRule="auto"/>
        <w:jc w:val="both"/>
        <w:rPr>
          <w:color w:val="000000" w:themeColor="text1"/>
          <w:lang w:val="es-ES" w:eastAsia="en-US"/>
        </w:rPr>
      </w:pPr>
      <w:r w:rsidRPr="004A0D77">
        <w:rPr>
          <w:color w:val="000000" w:themeColor="text1"/>
          <w:lang w:val="es-ES" w:eastAsia="en-US"/>
        </w:rPr>
        <w:t xml:space="preserve">“El Departamento de la Guajira posee una extensión territorial de 20.848 Kilómetros cuadrados, está constituido por 15 Municipios y 93 centros poblados, entre corregimientos Inspecciones de policía y caseríos; tiene una población de 846.641Habitantes, según la proyección </w:t>
      </w:r>
      <w:r w:rsidR="00D07943" w:rsidRPr="004A0D77">
        <w:rPr>
          <w:color w:val="000000" w:themeColor="text1"/>
          <w:lang w:val="es-ES" w:eastAsia="en-US"/>
        </w:rPr>
        <w:t xml:space="preserve">del censo DANE para el año 2011. </w:t>
      </w:r>
      <w:r w:rsidRPr="004A0D77">
        <w:rPr>
          <w:color w:val="000000" w:themeColor="text1"/>
          <w:lang w:val="es-ES" w:eastAsia="en-US"/>
        </w:rPr>
        <w:t>La Guajira limita al norte con el Mar Caribe, al sur con el Departamento del Cesar y el Magdalena al este con Venezuela y al este con Venezuela y al oeste con el Departamento del Magdalena y el mar caribe. De acuerdo con sus características Geográficas y ambientales el Departamento está dividido en  tres subregiones. Alta Guajira, Media Guajira, y Baja Guajira</w:t>
      </w:r>
      <w:r w:rsidR="00DA1AF5" w:rsidRPr="004A0D77">
        <w:rPr>
          <w:color w:val="000000" w:themeColor="text1"/>
          <w:lang w:val="es-ES" w:eastAsia="en-US"/>
        </w:rPr>
        <w:t>.</w:t>
      </w:r>
    </w:p>
    <w:p w14:paraId="23CCA73C" w14:textId="4A0D3604" w:rsidR="001803FB" w:rsidRPr="004A0D77" w:rsidRDefault="000840E7" w:rsidP="002A74C5">
      <w:pPr>
        <w:pStyle w:val="NormalWeb"/>
        <w:spacing w:line="360" w:lineRule="auto"/>
        <w:jc w:val="both"/>
        <w:rPr>
          <w:b/>
          <w:color w:val="000000" w:themeColor="text1"/>
          <w:lang w:val="es-ES" w:eastAsia="en-US"/>
        </w:rPr>
      </w:pPr>
      <w:r>
        <w:rPr>
          <w:b/>
          <w:color w:val="000000" w:themeColor="text1"/>
          <w:lang w:val="es-ES" w:eastAsia="en-US"/>
        </w:rPr>
        <w:t>2.1.3</w:t>
      </w:r>
      <w:r>
        <w:rPr>
          <w:b/>
          <w:color w:val="000000" w:themeColor="text1"/>
          <w:lang w:val="es-ES" w:eastAsia="en-US"/>
        </w:rPr>
        <w:tab/>
      </w:r>
      <w:r w:rsidR="001803FB" w:rsidRPr="004A0D77">
        <w:rPr>
          <w:b/>
          <w:color w:val="000000" w:themeColor="text1"/>
          <w:lang w:val="es-ES" w:eastAsia="en-US"/>
        </w:rPr>
        <w:t xml:space="preserve"> </w:t>
      </w:r>
      <w:bookmarkStart w:id="6" w:name="_Toc467616437"/>
      <w:r w:rsidR="001803FB" w:rsidRPr="004A0D77">
        <w:rPr>
          <w:b/>
          <w:color w:val="000000" w:themeColor="text1"/>
        </w:rPr>
        <w:t>El turismo en el Departamento de La Guajira</w:t>
      </w:r>
      <w:bookmarkEnd w:id="6"/>
      <w:r w:rsidR="001803FB" w:rsidRPr="004A0D77">
        <w:rPr>
          <w:b/>
          <w:color w:val="000000" w:themeColor="text1"/>
        </w:rPr>
        <w:t xml:space="preserve"> </w:t>
      </w:r>
    </w:p>
    <w:p w14:paraId="7D38687C" w14:textId="77777777" w:rsidR="001803FB" w:rsidRPr="004A0D77" w:rsidRDefault="001803FB" w:rsidP="001803FB">
      <w:pPr>
        <w:pStyle w:val="NormalWeb"/>
        <w:spacing w:line="360" w:lineRule="auto"/>
        <w:jc w:val="both"/>
        <w:rPr>
          <w:color w:val="000000" w:themeColor="text1"/>
          <w:lang w:val="es-ES"/>
        </w:rPr>
      </w:pPr>
      <w:r w:rsidRPr="004A0D77">
        <w:rPr>
          <w:color w:val="000000" w:themeColor="text1"/>
          <w:lang w:val="es-ES"/>
        </w:rPr>
        <w:t xml:space="preserve">El departamento se caracteriza por su variada topografía que incluye playas, acantilados, planicies, desiertos, serranías, montes, valles y montañas, con un clima predominantemente seco. De acuerdo con su configuración, La Guajira ha sido subdividida en tres regiones: la Baja Guajira: zona sur; la Media Guajira: la parte central; y la Alta Guajira: al extremo peninsular (Plan de desarrollo turístico de La Guajira, 2012) </w:t>
      </w:r>
    </w:p>
    <w:p w14:paraId="780D4605" w14:textId="77777777" w:rsidR="001803FB" w:rsidRPr="004A0D77" w:rsidRDefault="001803FB" w:rsidP="001803FB">
      <w:pPr>
        <w:autoSpaceDE w:val="0"/>
        <w:autoSpaceDN w:val="0"/>
        <w:adjustRightInd w:val="0"/>
        <w:spacing w:line="360" w:lineRule="auto"/>
        <w:jc w:val="both"/>
        <w:rPr>
          <w:noProof/>
          <w:color w:val="000000" w:themeColor="text1"/>
          <w:lang w:val="es-ES"/>
        </w:rPr>
      </w:pPr>
      <w:r w:rsidRPr="004A0D77">
        <w:rPr>
          <w:noProof/>
          <w:color w:val="000000" w:themeColor="text1"/>
          <w:lang w:val="es-ES"/>
        </w:rPr>
        <w:t>Las características que hacen especial y diferencial el turismo en el Departamento de la Guajira garantizan de hecho una demanda potencial del servicio, uno de los principales atractivos del Departamento es precisamente su riqueza cultural y pluri – étnica, al hacer presencia en la zona indígenas de las etnias wayuu, koguis, arsarios, wiwas, arhuacos.</w:t>
      </w:r>
    </w:p>
    <w:p w14:paraId="3FA9A9F7" w14:textId="77DE0EBE" w:rsidR="001803FB" w:rsidRPr="004A0D77" w:rsidRDefault="000840E7" w:rsidP="001803FB">
      <w:pPr>
        <w:pStyle w:val="Ttulo2"/>
        <w:numPr>
          <w:ilvl w:val="0"/>
          <w:numId w:val="0"/>
        </w:numPr>
        <w:ind w:left="576" w:hanging="576"/>
        <w:rPr>
          <w:rFonts w:ascii="Times New Roman" w:hAnsi="Times New Roman" w:cs="Times New Roman"/>
          <w:i w:val="0"/>
          <w:color w:val="000000" w:themeColor="text1"/>
          <w:szCs w:val="24"/>
        </w:rPr>
      </w:pPr>
      <w:bookmarkStart w:id="7" w:name="_Toc467616438"/>
      <w:r>
        <w:rPr>
          <w:rFonts w:ascii="Times New Roman" w:hAnsi="Times New Roman" w:cs="Times New Roman"/>
          <w:i w:val="0"/>
          <w:color w:val="000000" w:themeColor="text1"/>
          <w:szCs w:val="24"/>
        </w:rPr>
        <w:t>2.2</w:t>
      </w:r>
      <w:r>
        <w:rPr>
          <w:rFonts w:ascii="Times New Roman" w:hAnsi="Times New Roman" w:cs="Times New Roman"/>
          <w:i w:val="0"/>
          <w:color w:val="000000" w:themeColor="text1"/>
          <w:szCs w:val="24"/>
        </w:rPr>
        <w:tab/>
      </w:r>
      <w:r w:rsidR="001803FB" w:rsidRPr="004A0D77">
        <w:rPr>
          <w:rFonts w:ascii="Times New Roman" w:hAnsi="Times New Roman" w:cs="Times New Roman"/>
          <w:i w:val="0"/>
          <w:color w:val="000000" w:themeColor="text1"/>
          <w:szCs w:val="24"/>
        </w:rPr>
        <w:t>Actividades y Destinos Etnotuirsticos del Departamento de La Guajira</w:t>
      </w:r>
      <w:bookmarkEnd w:id="7"/>
    </w:p>
    <w:p w14:paraId="6AEA38C0" w14:textId="1CE88051" w:rsidR="001803FB" w:rsidRPr="004A0D77" w:rsidRDefault="000840E7" w:rsidP="001803FB">
      <w:pPr>
        <w:pStyle w:val="Ttulo3"/>
        <w:numPr>
          <w:ilvl w:val="0"/>
          <w:numId w:val="0"/>
        </w:numPr>
        <w:ind w:left="720" w:hanging="720"/>
        <w:rPr>
          <w:rFonts w:ascii="Times New Roman" w:hAnsi="Times New Roman" w:cs="Times New Roman"/>
          <w:color w:val="000000" w:themeColor="text1"/>
          <w:sz w:val="24"/>
          <w:szCs w:val="24"/>
        </w:rPr>
      </w:pPr>
      <w:bookmarkStart w:id="8" w:name="_Toc467616439"/>
      <w:r>
        <w:rPr>
          <w:rFonts w:ascii="Times New Roman" w:hAnsi="Times New Roman" w:cs="Times New Roman"/>
          <w:color w:val="000000" w:themeColor="text1"/>
          <w:sz w:val="24"/>
          <w:szCs w:val="24"/>
        </w:rPr>
        <w:t>2.1</w:t>
      </w:r>
      <w:r>
        <w:rPr>
          <w:rFonts w:ascii="Times New Roman" w:hAnsi="Times New Roman" w:cs="Times New Roman"/>
          <w:color w:val="000000" w:themeColor="text1"/>
          <w:sz w:val="24"/>
          <w:szCs w:val="24"/>
        </w:rPr>
        <w:tab/>
      </w:r>
      <w:r w:rsidR="001803FB" w:rsidRPr="004A0D77">
        <w:rPr>
          <w:rFonts w:ascii="Times New Roman" w:hAnsi="Times New Roman" w:cs="Times New Roman"/>
          <w:color w:val="000000" w:themeColor="text1"/>
          <w:sz w:val="24"/>
          <w:szCs w:val="24"/>
        </w:rPr>
        <w:t>El cabo de la vela (Jepira)</w:t>
      </w:r>
      <w:bookmarkEnd w:id="8"/>
    </w:p>
    <w:p w14:paraId="36901DA7" w14:textId="77777777" w:rsidR="001803FB" w:rsidRPr="004A0D77" w:rsidRDefault="001803FB" w:rsidP="001803FB">
      <w:pPr>
        <w:pStyle w:val="NormalWeb"/>
        <w:spacing w:line="360" w:lineRule="auto"/>
        <w:jc w:val="both"/>
        <w:rPr>
          <w:color w:val="000000" w:themeColor="text1"/>
          <w:lang w:val="es-ES"/>
        </w:rPr>
      </w:pPr>
      <w:r w:rsidRPr="004A0D77">
        <w:rPr>
          <w:color w:val="000000" w:themeColor="text1"/>
          <w:lang w:val="es-ES"/>
        </w:rPr>
        <w:t xml:space="preserve">Es el destino turístico del departamento de La Guajira mas reconocido , se encuentra ubicado a 120 kilómetros de la Capital Guajira, en el Municipio de Uribía representa un lugar sagrado para los Wayuu y un resguardo indígena, Según la mitología Wayuu hasta este lugar viajan los espíritus de los muertos aunque hubiesen muerto en el lugar mas distante, acá en este sitio </w:t>
      </w:r>
      <w:r w:rsidRPr="004A0D77">
        <w:rPr>
          <w:color w:val="000000" w:themeColor="text1"/>
          <w:lang w:val="es-ES"/>
        </w:rPr>
        <w:lastRenderedPageBreak/>
        <w:t>sagrado descansan de la travesía, antes de sumergirse en el mar donde inician una nueva vida para volver a ser wayuu con muchas riquezas.</w:t>
      </w:r>
    </w:p>
    <w:p w14:paraId="770E6DC2" w14:textId="77777777" w:rsidR="001803FB" w:rsidRPr="004A0D77" w:rsidRDefault="001803FB" w:rsidP="001803FB">
      <w:pPr>
        <w:pStyle w:val="NormalWeb"/>
        <w:numPr>
          <w:ilvl w:val="0"/>
          <w:numId w:val="32"/>
        </w:numPr>
        <w:spacing w:line="360" w:lineRule="auto"/>
        <w:jc w:val="both"/>
        <w:rPr>
          <w:color w:val="000000" w:themeColor="text1"/>
          <w:lang w:val="es-ES"/>
        </w:rPr>
      </w:pPr>
      <w:r w:rsidRPr="004A0D77">
        <w:rPr>
          <w:b/>
          <w:color w:val="000000" w:themeColor="text1"/>
          <w:lang w:val="es-ES"/>
        </w:rPr>
        <w:t>La alta Guajira</w:t>
      </w:r>
      <w:r w:rsidRPr="004A0D77">
        <w:rPr>
          <w:color w:val="000000" w:themeColor="text1"/>
          <w:lang w:val="es-ES"/>
        </w:rPr>
        <w:t>: La alta Guajira es considerado un circuito turístico que considera los principales parajes costeros de la península, el recorrido turístico comprende el puesto de control de radares en castilletes, las bahías de tukakas y cocinetas, siguiendo con el recorrido se encuentra con puerto López, la serranía de la Makuira, puerto Estrella , punta gallina, bahía honda bahía hondita y retorno al cabo de la Vela.</w:t>
      </w:r>
    </w:p>
    <w:p w14:paraId="7F959A71" w14:textId="77777777" w:rsidR="001803FB" w:rsidRPr="004A0D77" w:rsidRDefault="001803FB" w:rsidP="001803FB">
      <w:pPr>
        <w:pStyle w:val="NormalWeb"/>
        <w:numPr>
          <w:ilvl w:val="0"/>
          <w:numId w:val="32"/>
        </w:numPr>
        <w:spacing w:line="360" w:lineRule="auto"/>
        <w:jc w:val="both"/>
        <w:rPr>
          <w:color w:val="000000" w:themeColor="text1"/>
          <w:lang w:val="es-ES"/>
        </w:rPr>
      </w:pPr>
      <w:r w:rsidRPr="004A0D77">
        <w:rPr>
          <w:b/>
          <w:color w:val="000000" w:themeColor="text1"/>
          <w:lang w:val="es-ES"/>
        </w:rPr>
        <w:t xml:space="preserve">Tardes de Rancherías: </w:t>
      </w:r>
      <w:r w:rsidRPr="004A0D77">
        <w:rPr>
          <w:color w:val="000000" w:themeColor="text1"/>
          <w:lang w:val="es-ES"/>
        </w:rPr>
        <w:t xml:space="preserve">Esta actividad turística presenta al turista una escenificación  de los usos y costumbres en la etnia wayuu, por un día los visitantes se incorporan a este estilo de vida, se le brinda   la opción al turista de consumir ciertos elementos simbólicos de la cultura. Tales vínculos tipifican a la familia Wayúu, como matrilocal, dentro de la cual, el hombre suele ser polígamo, se ausenta periódicamente y muchas veces definitivamente, para conformar un nuevo hogar </w:t>
      </w:r>
      <w:r w:rsidRPr="004A0D77">
        <w:rPr>
          <w:color w:val="000000" w:themeColor="text1"/>
          <w:lang w:val="es-ES"/>
        </w:rPr>
        <w:fldChar w:fldCharType="begin" w:fldLock="1"/>
      </w:r>
      <w:r w:rsidRPr="004A0D77">
        <w:rPr>
          <w:color w:val="000000" w:themeColor="text1"/>
          <w:lang w:val="es-ES"/>
        </w:rPr>
        <w:instrText>ADDIN CSL_CITATION { "citationItems" : [ { "id" : "ITEM-1", "itemData" : { "author" : [ { "dropping-particle" : "", "family" : "Urrego", "given" : "Manuela", "non-dropping-particle" : "", "parse-names" : false, "suffix" : "" } ], "container-title" : "Memorias", "id" : "ITEM-1", "issued" : { "date-parts" : [ [ "2010" ] ] }, "title" : "Tardes de rancheria: \u00bfuna cultura imaginada?", "type" : "article-journal" }, "uris" : [ "http://www.mendeley.com/documents/?uuid=c498670f-914a-41a3-8a83-805a0cf3767a" ] } ], "mendeley" : { "formattedCitation" : "(Urrego, 2010)", "plainTextFormattedCitation" : "(Urrego, 2010)", "previouslyFormattedCitation" : "(Urrego, 2010)" }, "properties" : { "noteIndex" : 0 }, "schema" : "https://github.com/citation-style-language/schema/raw/master/csl-citation.json" }</w:instrText>
      </w:r>
      <w:r w:rsidRPr="004A0D77">
        <w:rPr>
          <w:color w:val="000000" w:themeColor="text1"/>
          <w:lang w:val="es-ES"/>
        </w:rPr>
        <w:fldChar w:fldCharType="separate"/>
      </w:r>
      <w:r w:rsidRPr="004A0D77">
        <w:rPr>
          <w:noProof/>
          <w:color w:val="000000" w:themeColor="text1"/>
          <w:lang w:val="es-ES"/>
        </w:rPr>
        <w:t>(Urrego, 2010)</w:t>
      </w:r>
      <w:r w:rsidRPr="004A0D77">
        <w:rPr>
          <w:color w:val="000000" w:themeColor="text1"/>
          <w:lang w:val="es-ES"/>
        </w:rPr>
        <w:fldChar w:fldCharType="end"/>
      </w:r>
      <w:r w:rsidRPr="004A0D77">
        <w:rPr>
          <w:color w:val="000000" w:themeColor="text1"/>
          <w:lang w:val="es-ES"/>
        </w:rPr>
        <w:t>.</w:t>
      </w:r>
    </w:p>
    <w:p w14:paraId="2952E1B4" w14:textId="77777777" w:rsidR="001803FB" w:rsidRPr="004A0D77" w:rsidRDefault="001803FB" w:rsidP="001803FB">
      <w:pPr>
        <w:pStyle w:val="Prrafodelista"/>
        <w:widowControl w:val="0"/>
        <w:numPr>
          <w:ilvl w:val="0"/>
          <w:numId w:val="32"/>
        </w:numPr>
        <w:autoSpaceDE w:val="0"/>
        <w:autoSpaceDN w:val="0"/>
        <w:adjustRightInd w:val="0"/>
        <w:spacing w:after="240" w:line="360" w:lineRule="atLeast"/>
        <w:jc w:val="both"/>
        <w:rPr>
          <w:color w:val="000000" w:themeColor="text1"/>
          <w:lang w:val="es-ES"/>
        </w:rPr>
      </w:pPr>
      <w:r w:rsidRPr="004A0D77">
        <w:rPr>
          <w:b/>
          <w:color w:val="000000" w:themeColor="text1"/>
          <w:lang w:val="es-ES"/>
        </w:rPr>
        <w:t xml:space="preserve">Salinas de Manaure: </w:t>
      </w:r>
      <w:r w:rsidRPr="004A0D77">
        <w:rPr>
          <w:color w:val="000000" w:themeColor="text1"/>
          <w:lang w:val="es-ES"/>
        </w:rPr>
        <w:t>Esta actividad turística comprende la visita a las charcas  explotación de sal natural, por lo menos unas 700.000 toneladas del mineral en en forma de diversas pirámides, provocando un excelente paisaje de por lo menos unas 4200 hectáreas, ubicadas frente una majestuosa playa de arena blanca y aguas de mar de colores intensos.</w:t>
      </w:r>
    </w:p>
    <w:p w14:paraId="3695B03C" w14:textId="7F2C65DE" w:rsidR="00D07943" w:rsidRPr="004A0D77" w:rsidRDefault="001803FB" w:rsidP="00DA1AF5">
      <w:pPr>
        <w:pStyle w:val="Prrafodelista"/>
        <w:widowControl w:val="0"/>
        <w:numPr>
          <w:ilvl w:val="0"/>
          <w:numId w:val="32"/>
        </w:numPr>
        <w:autoSpaceDE w:val="0"/>
        <w:autoSpaceDN w:val="0"/>
        <w:adjustRightInd w:val="0"/>
        <w:spacing w:after="240" w:line="360" w:lineRule="atLeast"/>
        <w:jc w:val="both"/>
        <w:rPr>
          <w:color w:val="000000" w:themeColor="text1"/>
          <w:lang w:val="es-ES"/>
        </w:rPr>
      </w:pPr>
      <w:r w:rsidRPr="004A0D77">
        <w:rPr>
          <w:b/>
          <w:color w:val="000000" w:themeColor="text1"/>
          <w:lang w:val="es-ES"/>
        </w:rPr>
        <w:t xml:space="preserve">Santuario de Flora y Fauna de los Flamencos: </w:t>
      </w:r>
      <w:r w:rsidRPr="004A0D77">
        <w:rPr>
          <w:color w:val="000000" w:themeColor="text1"/>
          <w:lang w:val="es-ES"/>
        </w:rPr>
        <w:t xml:space="preserve">Se encuentra ubicado en zona rural a unos 200 metros del Distrito turístico y Cultural de Riohacha, en el corregimiento de Camarones El santuario es el mayor refugio de los flamencos rosados (Tokoko) en la Guajira, que encuentran en sus aguas ricos nutrientes por la confluencia de aguas saladas y dulces y la abundancia de peces de las aguas bajas de la laguna. </w:t>
      </w:r>
      <w:bookmarkStart w:id="9" w:name="_Toc467616440"/>
    </w:p>
    <w:p w14:paraId="09979B6E" w14:textId="1E8F6F7B" w:rsidR="001803FB" w:rsidRPr="004A0D77" w:rsidRDefault="000840E7" w:rsidP="001803FB">
      <w:pPr>
        <w:pStyle w:val="Ttulo2"/>
        <w:numPr>
          <w:ilvl w:val="0"/>
          <w:numId w:val="0"/>
        </w:numPr>
        <w:ind w:left="576" w:hanging="576"/>
        <w:rPr>
          <w:rFonts w:ascii="Times New Roman" w:hAnsi="Times New Roman" w:cs="Times New Roman"/>
          <w:i w:val="0"/>
          <w:color w:val="000000" w:themeColor="text1"/>
          <w:szCs w:val="24"/>
        </w:rPr>
      </w:pPr>
      <w:r>
        <w:rPr>
          <w:rFonts w:ascii="Times New Roman" w:hAnsi="Times New Roman" w:cs="Times New Roman"/>
          <w:i w:val="0"/>
          <w:color w:val="000000" w:themeColor="text1"/>
          <w:szCs w:val="24"/>
        </w:rPr>
        <w:t>2.3</w:t>
      </w:r>
      <w:r>
        <w:rPr>
          <w:rFonts w:ascii="Times New Roman" w:hAnsi="Times New Roman" w:cs="Times New Roman"/>
          <w:i w:val="0"/>
          <w:color w:val="000000" w:themeColor="text1"/>
          <w:szCs w:val="24"/>
        </w:rPr>
        <w:tab/>
      </w:r>
      <w:r w:rsidR="001803FB" w:rsidRPr="004A0D77">
        <w:rPr>
          <w:rFonts w:ascii="Times New Roman" w:hAnsi="Times New Roman" w:cs="Times New Roman"/>
          <w:i w:val="0"/>
          <w:color w:val="000000" w:themeColor="text1"/>
          <w:szCs w:val="24"/>
        </w:rPr>
        <w:t>El Turismo étnico</w:t>
      </w:r>
      <w:bookmarkEnd w:id="9"/>
    </w:p>
    <w:p w14:paraId="18639A11" w14:textId="77777777" w:rsidR="001803FB" w:rsidRPr="004A0D77" w:rsidRDefault="001803FB" w:rsidP="001803FB">
      <w:pPr>
        <w:pStyle w:val="NormalWeb"/>
        <w:spacing w:line="360" w:lineRule="auto"/>
        <w:jc w:val="both"/>
        <w:rPr>
          <w:color w:val="000000" w:themeColor="text1"/>
          <w:lang w:val="es-ES"/>
        </w:rPr>
      </w:pPr>
      <w:r w:rsidRPr="004A0D77">
        <w:rPr>
          <w:color w:val="000000" w:themeColor="text1"/>
          <w:lang w:val="es-ES"/>
        </w:rPr>
        <w:t xml:space="preserve">El primer uso de la expresión ''turismo étnico'', se atribuye a </w:t>
      </w:r>
      <w:r w:rsidRPr="004A0D77">
        <w:rPr>
          <w:color w:val="000000" w:themeColor="text1"/>
          <w:lang w:val="es-ES"/>
        </w:rPr>
        <w:fldChar w:fldCharType="begin" w:fldLock="1"/>
      </w:r>
      <w:r w:rsidRPr="004A0D77">
        <w:rPr>
          <w:color w:val="000000" w:themeColor="text1"/>
          <w:lang w:val="es-ES"/>
        </w:rPr>
        <w:instrText>ADDIN CSL_CITATION { "citationItems" : [ { "id" : "ITEM-1", "itemData" : { "ISBN" : "0812212800", "author" : [ { "dropping-particle" : "", "family" : "Smith", "given" : "Valene L.", "non-dropping-particle" : "", "parse-names" : false, "suffix" : "" } ], "id" : "ITEM-1", "issued" : { "date-parts" : [ [ "1898" ] ] }, "title" : "The Anthropopogy of Tourism: Hosts and Guests", "type" : "article" }, "uris" : [ "http://www.mendeley.com/documents/?uuid=e1a9ffdb-f96f-4d8b-8e0c-dd5f2651918c" ] } ], "mendeley" : { "formattedCitation" : "(Smith, 1898)", "manualFormatting" : "Smith (1898)", "plainTextFormattedCitation" : "(Smith, 1898)", "previouslyFormattedCitation" : "(Smith, 1898)" }, "properties" : { "noteIndex" : 0 }, "schema" : "https://github.com/citation-style-language/schema/raw/master/csl-citation.json" }</w:instrText>
      </w:r>
      <w:r w:rsidRPr="004A0D77">
        <w:rPr>
          <w:color w:val="000000" w:themeColor="text1"/>
          <w:lang w:val="es-ES"/>
        </w:rPr>
        <w:fldChar w:fldCharType="separate"/>
      </w:r>
      <w:r w:rsidRPr="004A0D77">
        <w:rPr>
          <w:noProof/>
          <w:color w:val="000000" w:themeColor="text1"/>
          <w:lang w:val="es-ES"/>
        </w:rPr>
        <w:t>Smith (1898)</w:t>
      </w:r>
      <w:r w:rsidRPr="004A0D77">
        <w:rPr>
          <w:color w:val="000000" w:themeColor="text1"/>
          <w:lang w:val="es-ES"/>
        </w:rPr>
        <w:fldChar w:fldCharType="end"/>
      </w:r>
      <w:r w:rsidRPr="004A0D77">
        <w:rPr>
          <w:color w:val="000000" w:themeColor="text1"/>
          <w:lang w:val="es-ES"/>
        </w:rPr>
        <w:t xml:space="preserve">, quien lo definió como el turismo de un  ''Mercado "pintoresco" ofrecido al publico en términos de   las costumbres exóticas de los pueblos indígenas'' (p. 2). </w:t>
      </w:r>
    </w:p>
    <w:p w14:paraId="401A4402" w14:textId="77777777" w:rsidR="001803FB" w:rsidRPr="004A0D77" w:rsidRDefault="001803FB" w:rsidP="001803FB">
      <w:pPr>
        <w:autoSpaceDE w:val="0"/>
        <w:autoSpaceDN w:val="0"/>
        <w:adjustRightInd w:val="0"/>
        <w:spacing w:after="100" w:afterAutospacing="1" w:line="360" w:lineRule="auto"/>
        <w:jc w:val="both"/>
        <w:rPr>
          <w:color w:val="000000" w:themeColor="text1"/>
          <w:lang w:val="es-ES"/>
        </w:rPr>
      </w:pPr>
      <w:r w:rsidRPr="004A0D77">
        <w:rPr>
          <w:color w:val="000000" w:themeColor="text1"/>
          <w:lang w:val="es-ES"/>
        </w:rPr>
        <w:t xml:space="preserve">Estudios académicos a nivel mundial realizados sobre el turismo étnico y su incidencia socioeconómica sobre los grupos étnicos minoritarios, muestran dos perspectivas opuestas, según </w:t>
      </w:r>
      <w:r w:rsidRPr="004A0D77">
        <w:rPr>
          <w:color w:val="000000" w:themeColor="text1"/>
          <w:lang w:val="es-ES"/>
        </w:rPr>
        <w:fldChar w:fldCharType="begin" w:fldLock="1"/>
      </w:r>
      <w:r w:rsidRPr="004A0D77">
        <w:rPr>
          <w:color w:val="000000" w:themeColor="text1"/>
          <w:lang w:val="es-ES"/>
        </w:rPr>
        <w:instrText>ADDIN CSL_CITATION { "citationItems" : [ { "id" : "ITEM-1", "itemData" : { "DOI" : "10.1016/j.annals.2011.05.004", "ISBN" : "0160-7383", "ISSN" : "01607383", "abstract" : "This research examines how the economic benefits of working in the ethnic tourism industry affect households in the local minority community, with a special focus on the division of labor and power dynamics of gender complementarity.Household income data gathered from the inner-city communities of the Akha tribal people in Thailand are the primary data used in a linear regression framework. The results show that ethnic tourism provides income to the local minority community. This income, however, is higher for young people and women than for older men, a disparity that disrupts the community's traditional patriarchal social system. This study contributes to a nested model of multiple marginalization based on ethnicity, gender, and legal status. This case shall contribute to tourism planning and local policymaking in areas where ethnic tourism prospers. ?? 2011 Elsevier Ltd.", "author" : [ { "dropping-particle" : "", "family" : "Ishii", "given" : "Kayoko", "non-dropping-particle" : "", "parse-names" : false, "suffix" : "" } ], "container-title" : "Annals of Tourism Research", "id" : "ITEM-1", "issue" : "1", "issued" : { "date-parts" : [ [ "2012" ] ] }, "page" : "290-310", "publisher" : "Elsevier Ltd", "title" : "The impact of ethnic tourism on hill tribes in Thailand", "type" : "article-journal", "volume" : "39" }, "uris" : [ "http://www.mendeley.com/documents/?uuid=4a932a07-1106-4b06-a370-06110f9746e3" ] } ], "mendeley" : { "formattedCitation" : "(Ishii, 2012)", "manualFormatting" : "Ishii (2012)", "plainTextFormattedCitation" : "(Ishii, 2012)", "previouslyFormattedCitation" : "(Ishii, 2012)" }, "properties" : { "noteIndex" : 0 }, "schema" : "https://github.com/citation-style-language/schema/raw/master/csl-citation.json" }</w:instrText>
      </w:r>
      <w:r w:rsidRPr="004A0D77">
        <w:rPr>
          <w:color w:val="000000" w:themeColor="text1"/>
          <w:lang w:val="es-ES"/>
        </w:rPr>
        <w:fldChar w:fldCharType="separate"/>
      </w:r>
      <w:r w:rsidRPr="004A0D77">
        <w:rPr>
          <w:noProof/>
          <w:color w:val="000000" w:themeColor="text1"/>
          <w:lang w:val="es-ES"/>
        </w:rPr>
        <w:t>Ishii (2012)</w:t>
      </w:r>
      <w:r w:rsidRPr="004A0D77">
        <w:rPr>
          <w:color w:val="000000" w:themeColor="text1"/>
          <w:lang w:val="es-ES"/>
        </w:rPr>
        <w:fldChar w:fldCharType="end"/>
      </w:r>
      <w:r w:rsidRPr="004A0D77">
        <w:rPr>
          <w:color w:val="000000" w:themeColor="text1"/>
          <w:lang w:val="es-ES"/>
        </w:rPr>
        <w:t xml:space="preserve"> “</w:t>
      </w:r>
      <w:r w:rsidRPr="004A0D77">
        <w:rPr>
          <w:i/>
          <w:color w:val="000000" w:themeColor="text1"/>
          <w:lang w:val="es-ES"/>
        </w:rPr>
        <w:t>… (</w:t>
      </w:r>
      <w:r w:rsidRPr="004A0D77">
        <w:rPr>
          <w:i/>
          <w:color w:val="000000" w:themeColor="text1"/>
          <w:lang w:val="es-ES"/>
        </w:rPr>
        <w:fldChar w:fldCharType="begin" w:fldLock="1"/>
      </w:r>
      <w:r w:rsidRPr="004A0D77">
        <w:rPr>
          <w:i/>
          <w:color w:val="000000" w:themeColor="text1"/>
          <w:lang w:val="es-ES"/>
        </w:rPr>
        <w:instrText>ADDIN CSL_CITATION { "citationItems" : [ { "id" : "ITEM-1", "itemData" : { "DOI" : "10.1163/156853108X327191", "ISBN" : "0824830725", "ISSN" : "0030851X", "abstract" : "Art as Politics explores the intersection of art, identity politics, and tourism in Sulawesi, Indonesia. Based on long-term ethnographic research from the 1980s to the present, the book offers a nuanced portrayal of the Sa\u2019dan Toraja, a predominantly Christian minority group in the world\u2019s most populous Muslim country. Celebrated in anthropological and tourism literatures for their spectacular traditional houses, sculpted effigies of the dead, and pageantry-filled funeral rituals, the Toraja have entered an era of accelerated engagement with the global economy marked by on-going struggles over identity, religion, and social relations.", "author" : [ { "dropping-particle" : "", "family" : "Adams", "given" : "Kathleen M", "non-dropping-particle" : "", "parse-names" : false, "suffix" : "" } ], "container-title" : "Pacific Affairs", "editor" : [ { "dropping-particle" : "", "family" : "Southeast Asia: Politics, Meaning", "given" : "and Memory Series", "non-dropping-particle" : "", "parse-names" : false, "suffix" : "" } ], "id" : "ITEM-1", "issued" : { "date-parts" : [ [ "2006" ] ] }, "number-of-pages" : "304", "title" : "Art As Politics: Re-Crafting Identities, Tourism, and Power in Tana Toraja, Indonesia", "type" : "book", "volume" : "81" }, "uris" : [ "http://www.mendeley.com/documents/?uuid=0c1399a3-0552-41a1-84ef-f3919a2d2aea" ] } ], "mendeley" : { "formattedCitation" : "(Adams, 2006)", "manualFormatting" : "Adams, 2006", "plainTextFormattedCitation" : "(Adams, 2006)", "previouslyFormattedCitation" : "(Adams, 2006)" }, "properties" : { "noteIndex" : 0 }, "schema" : "https://github.com/citation-style-language/schema/raw/master/csl-citation.json" }</w:instrText>
      </w:r>
      <w:r w:rsidRPr="004A0D77">
        <w:rPr>
          <w:i/>
          <w:color w:val="000000" w:themeColor="text1"/>
          <w:lang w:val="es-ES"/>
        </w:rPr>
        <w:fldChar w:fldCharType="separate"/>
      </w:r>
      <w:r w:rsidRPr="004A0D77">
        <w:rPr>
          <w:noProof/>
          <w:color w:val="000000" w:themeColor="text1"/>
          <w:lang w:val="es-ES"/>
        </w:rPr>
        <w:t>Adams, 2006</w:t>
      </w:r>
      <w:r w:rsidRPr="004A0D77">
        <w:rPr>
          <w:i/>
          <w:color w:val="000000" w:themeColor="text1"/>
          <w:lang w:val="es-ES"/>
        </w:rPr>
        <w:fldChar w:fldCharType="end"/>
      </w:r>
      <w:r w:rsidRPr="004A0D77">
        <w:rPr>
          <w:i/>
          <w:color w:val="000000" w:themeColor="text1"/>
          <w:lang w:val="es-ES"/>
        </w:rPr>
        <w:t xml:space="preserve">; Boswell, 2005; Bruner, 2005; Hitchcock, 2000; </w:t>
      </w:r>
      <w:r w:rsidRPr="004A0D77">
        <w:rPr>
          <w:i/>
          <w:color w:val="000000" w:themeColor="text1"/>
          <w:lang w:val="es-ES"/>
        </w:rPr>
        <w:lastRenderedPageBreak/>
        <w:t>Middleton, 2004, p 73.). La primera perspectiva ampliamente aceptada es que el turismo étnico tiene múltiples beneficios, como la reactivación de la cultura / identidad y socioeconómico, y en ocasiones incluso política, las ganancias para los residentes locales minoritarias (</w:t>
      </w:r>
      <w:r w:rsidRPr="004A0D77">
        <w:rPr>
          <w:i/>
          <w:color w:val="000000" w:themeColor="text1"/>
          <w:lang w:val="es-ES"/>
        </w:rPr>
        <w:fldChar w:fldCharType="begin" w:fldLock="1"/>
      </w:r>
      <w:r w:rsidRPr="004A0D77">
        <w:rPr>
          <w:i/>
          <w:color w:val="000000" w:themeColor="text1"/>
          <w:lang w:val="es-ES"/>
        </w:rPr>
        <w:instrText>ADDIN CSL_CITATION { "citationItems" : [ { "id" : "ITEM-1", "itemData" : { "ISSN" : "00141801", "author" : [ { "dropping-particle" : "", "family" : "Adams", "given" : "Kathleen M", "non-dropping-particle" : "", "parse-names" : false, "suffix" : "" } ], "container-title" : "Etnohistory", "id" : "ITEM-1", "issue" : "3", "issued" : { "date-parts" : [ [ "2003" ] ] }, "page" : "7", "title" : "Cultural Displays and Tourism in Africa and the Americas", "type" : "article", "volume" : "50" }, "uris" : [ "http://www.mendeley.com/documents/?uuid=f9b57457-1d37-4838-b7e4-ee3e32535d19" ] } ], "mendeley" : { "formattedCitation" : "(Adams, 2003)", "manualFormatting" : "Adams, 2003", "plainTextFormattedCitation" : "(Adams, 2003)", "previouslyFormattedCitation" : "(Adams, 2003)" }, "properties" : { "noteIndex" : 0 }, "schema" : "https://github.com/citation-style-language/schema/raw/master/csl-citation.json" }</w:instrText>
      </w:r>
      <w:r w:rsidRPr="004A0D77">
        <w:rPr>
          <w:i/>
          <w:color w:val="000000" w:themeColor="text1"/>
          <w:lang w:val="es-ES"/>
        </w:rPr>
        <w:fldChar w:fldCharType="separate"/>
      </w:r>
      <w:r w:rsidRPr="004A0D77">
        <w:rPr>
          <w:noProof/>
          <w:color w:val="000000" w:themeColor="text1"/>
          <w:lang w:val="es-ES"/>
        </w:rPr>
        <w:t>Adams, 2003</w:t>
      </w:r>
      <w:r w:rsidRPr="004A0D77">
        <w:rPr>
          <w:i/>
          <w:color w:val="000000" w:themeColor="text1"/>
          <w:lang w:val="es-ES"/>
        </w:rPr>
        <w:fldChar w:fldCharType="end"/>
      </w:r>
      <w:r w:rsidRPr="004A0D77">
        <w:rPr>
          <w:i/>
          <w:color w:val="000000" w:themeColor="text1"/>
          <w:lang w:val="es-ES"/>
        </w:rPr>
        <w:t xml:space="preserve">. p 571;. </w:t>
      </w:r>
      <w:r w:rsidRPr="004A0D77">
        <w:rPr>
          <w:i/>
          <w:color w:val="000000" w:themeColor="text1"/>
          <w:lang w:val="en-US"/>
        </w:rPr>
        <w:t xml:space="preserve">Andereck, Valentine, Knopf, y Vogt, 2005, p 1057; Kent, 2006, p </w:t>
      </w:r>
      <w:proofErr w:type="gramStart"/>
      <w:r w:rsidRPr="004A0D77">
        <w:rPr>
          <w:i/>
          <w:color w:val="000000" w:themeColor="text1"/>
          <w:lang w:val="en-US"/>
        </w:rPr>
        <w:t>101;.</w:t>
      </w:r>
      <w:proofErr w:type="gramEnd"/>
      <w:r w:rsidRPr="004A0D77">
        <w:rPr>
          <w:i/>
          <w:color w:val="000000" w:themeColor="text1"/>
          <w:lang w:val="en-US"/>
        </w:rPr>
        <w:t xml:space="preserve"> </w:t>
      </w:r>
      <w:r w:rsidRPr="004A0D77">
        <w:rPr>
          <w:i/>
          <w:color w:val="000000" w:themeColor="text1"/>
          <w:lang w:val="es-ES"/>
        </w:rPr>
        <w:fldChar w:fldCharType="begin" w:fldLock="1"/>
      </w:r>
      <w:r w:rsidRPr="004A0D77">
        <w:rPr>
          <w:i/>
          <w:color w:val="000000" w:themeColor="text1"/>
          <w:lang w:val="en-US"/>
        </w:rPr>
        <w:instrText>ADDIN CSL_CITATION { "citationItems" : [ { "id" : "ITEM-1", "itemData" : { "DOI" : "10.1016/j.annals.2007.04.002", "ISBN" : "0160-7383", "ISSN" : "01607383", "abstract" : "This paper discusses research into an ethno/ecotourism site developed by the Tsou nation of southern Taiwan. The Tanayiku Natural Ecology Park receives approximately 450,000 tourists annually. This paper assesses, from a poststructuralist perspective, the theoretical implications of what is termed an \"ecocultural renaissance\". It shows that the park functions in two contradictory ways. First, it is a site of geopolitical resistance to colonization for the Tsou. Second, it is as a site of topological consumption-which is, effectively, continued colonization-by tourists. Paradox notwithstanding, the paper discusses why Tanayiku represents a rare example of a successful community-based ecotourism operation owned and operated exclusively by an aboriginal group. ?? 2007 Elsevier Ltd. All rights reserved.", "author" : [ { "dropping-particle" : "", "family" : "Hipwell", "given" : "William T.", "non-dropping-particle" : "", "parse-names" : false, "suffix" : "" } ], "container-title" : "Annals of Tourism Research", "id" : "ITEM-1", "issue" : "4", "issued" : { "date-parts" : [ [ "2007" ] ] }, "page" : "876-897", "title" : "Taiwan aboriginal ecotourism. Tanayiku Natural Ecology Park", "type" : "article-journal", "volume" : "34" }, "uris" : [ "http://www.mendeley.com/documents/?uuid=de89f7ce-a616-4afd-b131-40ee95786c3d" ] } ], "mendeley" : { "formattedCitation" : "(Hipwell, 2007)", "manualFormatting" : "(Hipwell, 2007, pp 891-892)", "plainTextFormattedCitation" : "(Hipwell, 2007)", "previouslyFormattedCitation" : "(Hipwell, 2007)" }, "properties" : { "noteIndex" : 0 }, "schema" : "https://github.com/citation-style-language/schema/raw/master/csl-citation.json" }</w:instrText>
      </w:r>
      <w:r w:rsidRPr="004A0D77">
        <w:rPr>
          <w:i/>
          <w:color w:val="000000" w:themeColor="text1"/>
          <w:lang w:val="es-ES"/>
        </w:rPr>
        <w:fldChar w:fldCharType="separate"/>
      </w:r>
      <w:r w:rsidRPr="004A0D77">
        <w:rPr>
          <w:noProof/>
          <w:color w:val="000000" w:themeColor="text1"/>
          <w:lang w:val="en-US"/>
        </w:rPr>
        <w:t xml:space="preserve">(Hipwell, 2007, </w:t>
      </w:r>
      <w:r w:rsidRPr="004A0D77">
        <w:rPr>
          <w:i/>
          <w:noProof/>
          <w:color w:val="000000" w:themeColor="text1"/>
          <w:lang w:val="en-US"/>
        </w:rPr>
        <w:t>pp 891-892</w:t>
      </w:r>
      <w:r w:rsidRPr="004A0D77">
        <w:rPr>
          <w:noProof/>
          <w:color w:val="000000" w:themeColor="text1"/>
          <w:lang w:val="en-US"/>
        </w:rPr>
        <w:t>)</w:t>
      </w:r>
      <w:r w:rsidRPr="004A0D77">
        <w:rPr>
          <w:i/>
          <w:color w:val="000000" w:themeColor="text1"/>
          <w:lang w:val="es-ES"/>
        </w:rPr>
        <w:fldChar w:fldCharType="end"/>
      </w:r>
      <w:r w:rsidRPr="004A0D77">
        <w:rPr>
          <w:i/>
          <w:color w:val="000000" w:themeColor="text1"/>
          <w:lang w:val="en-US"/>
        </w:rPr>
        <w:t xml:space="preserve">, Andereck et al, 2005, pp 1056-1067;.. </w:t>
      </w:r>
      <w:r w:rsidRPr="004A0D77">
        <w:rPr>
          <w:i/>
          <w:color w:val="000000" w:themeColor="text1"/>
          <w:lang w:val="es-ES"/>
        </w:rPr>
        <w:t xml:space="preserve">Komlosy, 2004, p 370). Estos académicos a menudo desafían argumentos tradicionales que ponen en duda la autenticidad de la cultura minoritaria que se reproduce en nombre del turismo (Newald Gru, 2002, p 1016;. </w:t>
      </w:r>
      <w:r w:rsidRPr="004A0D77">
        <w:rPr>
          <w:i/>
          <w:color w:val="000000" w:themeColor="text1"/>
          <w:lang w:val="es-ES"/>
        </w:rPr>
        <w:fldChar w:fldCharType="begin" w:fldLock="1"/>
      </w:r>
      <w:r w:rsidRPr="004A0D77">
        <w:rPr>
          <w:i/>
          <w:color w:val="000000" w:themeColor="text1"/>
          <w:lang w:val="es-ES"/>
        </w:rPr>
        <w:instrText>ADDIN CSL_CITATION { "citationItems" : [ { "id" : "ITEM-1", "itemData" : { "DOI" : "10.1016/j.tourman.2008.09.008", "ISBN" : "0261-5177", "ISSN" : "02615177", "abstract" : "Ethnic tourism is employed by many countries to facilitate economic and cultural development and to assist in heritage preservation. Although a substantial literature is devoted to the impacts of ethnic tourism, little research has been done on planning ethnic attractions or related management issues. This paper addresses this gap by examining the socio-cultural issues associated with ethnic tourism and exploring planning strategies for its development based upon empirical research in a well-known tourist destination in China - Xishuangbanna, Yunnan Province. A conceptual framework is developed and employed to compare and evaluate the perspectives of four key stakeholder groups (government, tourism entrepreneurs, ethnic minorities, and tourists). Tensions are identified that are endemic to ethnic tourism and cannot be eliminated but they can be understood, planned for, and managed. ?? 2008 Elsevier Ltd. All rights reserved.", "author" : [ { "dropping-particle" : "", "family" : "Yang", "given" : "Li", "non-dropping-particle" : "", "parse-names" : false, "suffix" : "" }, { "dropping-particle" : "", "family" : "Wall", "given" : "Geoffrey", "non-dropping-particle" : "", "parse-names" : false, "suffix" : "" } ], "container-title" : "Tourism Management", "id" : "ITEM-1", "issue" : "4", "issued" : { "date-parts" : [ [ "2009" ] ] }, "page" : "559-570", "publisher" : "Elsevier Ltd", "title" : "Ethnic tourism: A framework and an application", "type" : "article-journal", "volume" : "30" }, "uris" : [ "http://www.mendeley.com/documents/?uuid=b2e32445-e0a9-4505-b845-ed2ba1aa53a9" ] } ], "mendeley" : { "formattedCitation" : "(Yang &amp; Wall, 2009)", "manualFormatting" : "(Yang y Wall, 2009", "plainTextFormattedCitation" : "(Yang &amp; Wall, 2009)", "previouslyFormattedCitation" : "(Yang &amp; Wall, 2009)" }, "properties" : { "noteIndex" : 0 }, "schema" : "https://github.com/citation-style-language/schema/raw/master/csl-citation.json" }</w:instrText>
      </w:r>
      <w:r w:rsidRPr="004A0D77">
        <w:rPr>
          <w:i/>
          <w:color w:val="000000" w:themeColor="text1"/>
          <w:lang w:val="es-ES"/>
        </w:rPr>
        <w:fldChar w:fldCharType="separate"/>
      </w:r>
      <w:r w:rsidRPr="004A0D77">
        <w:rPr>
          <w:noProof/>
          <w:color w:val="000000" w:themeColor="text1"/>
          <w:lang w:val="es-ES"/>
        </w:rPr>
        <w:t>(Yang y Wall, 2009</w:t>
      </w:r>
      <w:r w:rsidRPr="004A0D77">
        <w:rPr>
          <w:i/>
          <w:color w:val="000000" w:themeColor="text1"/>
          <w:lang w:val="es-ES"/>
        </w:rPr>
        <w:fldChar w:fldCharType="end"/>
      </w:r>
      <w:r w:rsidRPr="004A0D77">
        <w:rPr>
          <w:i/>
          <w:color w:val="000000" w:themeColor="text1"/>
          <w:lang w:val="es-ES"/>
        </w:rPr>
        <w:t xml:space="preserve"> p 236.). Por el contrario, el segundo punto de vista sostiene que el turismo étnico ofrece un retorno económico limitado para los residentes locales minoritarias, aunque muchos estudiosos hacen reconocer el impacto positivo del turismo étnico por razones culturales / identidad (Cohen, 2001, p 86;. McKercher y Fu de 2006 , p 521;. Nepal, 2005, p 116).. Algunos estudios señalan situaciones donde los actores locales toleran los efectos no deseados del turismo (Andriotis, 2006, p. 1082). Según estos investigadores, algunos sectores  minoritarios de la comunidad aceptan el turismo étnico a pesar de la rentabilidad económica limitada que aporta esta actividad, sin embargo se nota un impacto positivo en la reactivación de la cultura y la identidad, que trasciende el retorno económico limitado (McKercher y Fu, 2006, p 521;. Nepal , 2005, p. 116)” </w:t>
      </w:r>
      <w:r w:rsidRPr="004A0D77">
        <w:rPr>
          <w:color w:val="000000" w:themeColor="text1"/>
          <w:lang w:val="es-ES"/>
        </w:rPr>
        <w:fldChar w:fldCharType="begin" w:fldLock="1"/>
      </w:r>
      <w:r w:rsidRPr="004A0D77">
        <w:rPr>
          <w:color w:val="000000" w:themeColor="text1"/>
          <w:lang w:val="es-ES"/>
        </w:rPr>
        <w:instrText>ADDIN CSL_CITATION { "citationItems" : [ { "id" : "ITEM-1", "itemData" : { "DOI" : "10.1016/j.annals.2011.05.004", "ISBN" : "0160-7383", "ISSN" : "01607383", "abstract" : "This research examines how the economic benefits of working in the ethnic tourism industry affect households in the local minority community, with a special focus on the division of labor and power dynamics of gender complementarity.Household income data gathered from the inner-city communities of the Akha tribal people in Thailand are the primary data used in a linear regression framework. The results show that ethnic tourism provides income to the local minority community. This income, however, is higher for young people and women than for older men, a disparity that disrupts the community's traditional patriarchal social system. This study contributes to a nested model of multiple marginalization based on ethnicity, gender, and legal status. This case shall contribute to tourism planning and local policymaking in areas where ethnic tourism prospers. ?? 2011 Elsevier Ltd.", "author" : [ { "dropping-particle" : "", "family" : "Ishii", "given" : "Kayoko", "non-dropping-particle" : "", "parse-names" : false, "suffix" : "" } ], "container-title" : "Annals of Tourism Research", "id" : "ITEM-1", "issue" : "1", "issued" : { "date-parts" : [ [ "2012" ] ] }, "page" : "290-310", "publisher" : "Elsevier Ltd", "title" : "The impact of ethnic tourism on hill tribes in Thailand", "type" : "article-journal", "volume" : "39" }, "uris" : [ "http://www.mendeley.com/documents/?uuid=4a932a07-1106-4b06-a370-06110f9746e3" ] } ], "mendeley" : { "formattedCitation" : "(Ishii, 2012)", "plainTextFormattedCitation" : "(Ishii, 2012)", "previouslyFormattedCitation" : "(Ishii, 2012)" }, "properties" : { "noteIndex" : 0 }, "schema" : "https://github.com/citation-style-language/schema/raw/master/csl-citation.json" }</w:instrText>
      </w:r>
      <w:r w:rsidRPr="004A0D77">
        <w:rPr>
          <w:color w:val="000000" w:themeColor="text1"/>
          <w:lang w:val="es-ES"/>
        </w:rPr>
        <w:fldChar w:fldCharType="separate"/>
      </w:r>
      <w:r w:rsidRPr="004A0D77">
        <w:rPr>
          <w:noProof/>
          <w:color w:val="000000" w:themeColor="text1"/>
          <w:lang w:val="es-ES"/>
        </w:rPr>
        <w:t>(Ishii, 2012)</w:t>
      </w:r>
      <w:r w:rsidRPr="004A0D77">
        <w:rPr>
          <w:color w:val="000000" w:themeColor="text1"/>
          <w:lang w:val="es-ES"/>
        </w:rPr>
        <w:fldChar w:fldCharType="end"/>
      </w:r>
      <w:r w:rsidRPr="004A0D77">
        <w:rPr>
          <w:color w:val="000000" w:themeColor="text1"/>
          <w:lang w:val="es-ES"/>
        </w:rPr>
        <w:t xml:space="preserve">. </w:t>
      </w:r>
    </w:p>
    <w:p w14:paraId="255FD2EC" w14:textId="6250891E" w:rsidR="001803FB" w:rsidRPr="004A0D77" w:rsidRDefault="001803FB" w:rsidP="003E4323">
      <w:pPr>
        <w:pStyle w:val="NormalWeb"/>
        <w:spacing w:line="360" w:lineRule="auto"/>
        <w:jc w:val="both"/>
        <w:rPr>
          <w:color w:val="000000" w:themeColor="text1"/>
          <w:lang w:val="es-ES"/>
        </w:rPr>
      </w:pPr>
      <w:r w:rsidRPr="004A0D77">
        <w:rPr>
          <w:color w:val="000000" w:themeColor="text1"/>
          <w:lang w:val="es-ES"/>
        </w:rPr>
        <w:t>En té</w:t>
      </w:r>
      <w:r w:rsidR="00274ADE" w:rsidRPr="004A0D77">
        <w:rPr>
          <w:color w:val="000000" w:themeColor="text1"/>
          <w:lang w:val="es-ES"/>
        </w:rPr>
        <w:t xml:space="preserve">rminos  generales, </w:t>
      </w:r>
      <w:r w:rsidRPr="004A0D77">
        <w:rPr>
          <w:color w:val="000000" w:themeColor="text1"/>
          <w:lang w:val="es-ES"/>
        </w:rPr>
        <w:t xml:space="preserve">el análisis disyuntivo sobre la participación étnicas en la industria turística de los autores referenciados concluyen de manera evidente la importancia y el aporte que se podría desarrollar desde el turismo étnico como un  turismo especializado, una planeación incluyente de la actividad turística, donde las comunidades rurales participen como elementos decisorio, pueden en esencia generar un cambio en la calidad de vida de estos sectores minoritarios a parte de fortalecer los aspectos culturales y los factores identitatarios  de los grupos étnicos asentados en un territorio especifico. El turismo sigue siendo reconocido en la bibliografía. Sin embargo, la autenticidad del discurso desde una perspectiva de turismo étnico sigue siendo escasa </w:t>
      </w:r>
      <w:r w:rsidRPr="004A0D77">
        <w:rPr>
          <w:color w:val="000000" w:themeColor="text1"/>
          <w:lang w:val="es-ES"/>
        </w:rPr>
        <w:fldChar w:fldCharType="begin" w:fldLock="1"/>
      </w:r>
      <w:r w:rsidRPr="004A0D77">
        <w:rPr>
          <w:color w:val="000000" w:themeColor="text1"/>
          <w:lang w:val="es-ES"/>
        </w:rPr>
        <w:instrText>ADDIN CSL_CITATION { "citationItems" : [ { "id" : "ITEM-1", "itemData" : { "DOI" : "10.1016/j.tourman.2011.09.001", "ISBN" : "9781845411572", "ISSN" : "02615177", "abstract" : "The book contains eight chapters. Chapter one titled \u2018tourism and ethnic peoples\u2019 seeks to highlight the debatable context inwhich authenticities are claimed and presented. An interesting example of cultural display by non-ethnic performers at the 2008 Olympics Opening Ceremony in Beijing in China is offered to showthat specta- tors need a good time and are willing to compromise authenticity and ethnicity.", "author" : [ { "dropping-particle" : "", "family" : "Chhabra", "given" : "Deepak", "non-dropping-particle" : "", "parse-names" : false, "suffix" : "" } ], "container-title" : "Tourism Management", "id" : "ITEM-1", "issue" : "4", "issued" : { "date-parts" : [ [ "2012" ] ] }, "page" : "1005-1006", "publisher" : "Elsevier", "title" : "Authenticating Ethnic Tourism", "type" : "article-journal", "volume" : "33" }, "uris" : [ "http://www.mendeley.com/documents/?uuid=0e1d8ece-61a2-44ac-b93a-8b6646329304" ] } ], "mendeley" : { "formattedCitation" : "(Chhabra, 2012)", "plainTextFormattedCitation" : "(Chhabra, 2012)", "previouslyFormattedCitation" : "(Chhabra, 2012)" }, "properties" : { "noteIndex" : 0 }, "schema" : "https://github.com/citation-style-language/schema/raw/master/csl-citation.json" }</w:instrText>
      </w:r>
      <w:r w:rsidRPr="004A0D77">
        <w:rPr>
          <w:color w:val="000000" w:themeColor="text1"/>
          <w:lang w:val="es-ES"/>
        </w:rPr>
        <w:fldChar w:fldCharType="separate"/>
      </w:r>
      <w:r w:rsidRPr="004A0D77">
        <w:rPr>
          <w:noProof/>
          <w:color w:val="000000" w:themeColor="text1"/>
          <w:lang w:val="es-ES"/>
        </w:rPr>
        <w:t>(Chhabra, 2012)</w:t>
      </w:r>
      <w:r w:rsidRPr="004A0D77">
        <w:rPr>
          <w:color w:val="000000" w:themeColor="text1"/>
          <w:lang w:val="es-ES"/>
        </w:rPr>
        <w:fldChar w:fldCharType="end"/>
      </w:r>
    </w:p>
    <w:p w14:paraId="682B6BB1" w14:textId="77777777" w:rsidR="001803FB" w:rsidRPr="004A0D77" w:rsidRDefault="001803FB" w:rsidP="001803FB">
      <w:pPr>
        <w:spacing w:line="360" w:lineRule="auto"/>
        <w:jc w:val="both"/>
        <w:rPr>
          <w:color w:val="000000" w:themeColor="text1"/>
          <w:lang w:val="es-ES"/>
        </w:rPr>
      </w:pPr>
      <w:r w:rsidRPr="004A0D77">
        <w:rPr>
          <w:color w:val="000000" w:themeColor="text1"/>
          <w:lang w:val="es-ES"/>
        </w:rPr>
        <w:t xml:space="preserve">En tal sentido como se cito en </w:t>
      </w:r>
      <w:r w:rsidRPr="004A0D77">
        <w:rPr>
          <w:color w:val="000000" w:themeColor="text1"/>
          <w:lang w:val="es-ES"/>
        </w:rPr>
        <w:fldChar w:fldCharType="begin" w:fldLock="1"/>
      </w:r>
      <w:r w:rsidRPr="004A0D77">
        <w:rPr>
          <w:color w:val="000000" w:themeColor="text1"/>
          <w:lang w:val="es-ES"/>
        </w:rPr>
        <w:instrText>ADDIN CSL_CITATION { "citationItems" : [ { "id" : "ITEM-1", "itemData" : { "abstract" : "os interesa un acercamiento a la \u201ccuestio\u0301n e\u0301tnica\u201d que, desde una perspectiva histo\u0301rica y antropolo\u0301gica, permita visualizar los dispositivos de estatalidad que regulan tanto las relaciones de produccio\u0301n, como los imaginarios construidos sobre las poblaciones originaras para producir un modelo hegemo\u0301nico de nacio\u0301n. Se intentara\u0301 un ana\u0301lisis que rescate de la produccio\u0301n antropolo\u0301gica aquellas defini- ciones que descencializan el contenido y alcance de esta problema\u0301tica. Con este propo\u0301sito realizamos un recorrido fundado en distintos enfoques sobre los conceptos de grupo e\u0301tnico, identidad e\u0301tnica y etnicidad. Remarcando, por un lado, el cara\u0301cter procesual y dina\u0301mico de estos feno\u0301menos concebidos como resultado de una com- pleja interaccio\u0301n de relaciones intere\u0301tnicas, y por otro, sen\u0303alando como condicio\u0301n necesa- ria de la comprensio\u0301n de estos feno\u0301menos sociales, la contrastacio\u0301n de estas aproximacio- nes teo\u0301ricas con el campo empi\u0301rico, con el fin de resignar enunciados o patrones de univer- salidad.", "author" : [ { "dropping-particle" : "", "family" : "Bari", "given" : "Maria cristina", "non-dropping-particle" : "", "parse-names" : false, "suffix" : "" } ], "id" : "ITEM-1", "issued" : { "date-parts" : [ [ "2002" ] ] }, "page" : "14", "title" : "La cuestion etnica_ Aproximacion a los conceptos de grupo etnico, identidad etnica, etnicidad y relaciones interetnicas", "type" : "webpage" }, "uris" : [ "http://www.mendeley.com/documents/?uuid=6256b1d6-e311-45ed-8150-343a07d0195c" ] } ], "mendeley" : { "formattedCitation" : "(Bari, 2002)", "manualFormatting" : "(Bari, 2002,p.2)", "plainTextFormattedCitation" : "(Bari, 2002)", "previouslyFormattedCitation" : "(Bari, 2002)" }, "properties" : { "noteIndex" : 0 }, "schema" : "https://github.com/citation-style-language/schema/raw/master/csl-citation.json" }</w:instrText>
      </w:r>
      <w:r w:rsidRPr="004A0D77">
        <w:rPr>
          <w:color w:val="000000" w:themeColor="text1"/>
          <w:lang w:val="es-ES"/>
        </w:rPr>
        <w:fldChar w:fldCharType="separate"/>
      </w:r>
      <w:r w:rsidRPr="004A0D77">
        <w:rPr>
          <w:noProof/>
          <w:color w:val="000000" w:themeColor="text1"/>
          <w:lang w:val="es-ES"/>
        </w:rPr>
        <w:t>(Bari, 2002,p.2)</w:t>
      </w:r>
      <w:r w:rsidRPr="004A0D77">
        <w:rPr>
          <w:color w:val="000000" w:themeColor="text1"/>
          <w:lang w:val="es-ES"/>
        </w:rPr>
        <w:fldChar w:fldCharType="end"/>
      </w:r>
      <w:r w:rsidRPr="004A0D77">
        <w:rPr>
          <w:color w:val="000000" w:themeColor="text1"/>
          <w:lang w:val="es-ES"/>
        </w:rPr>
        <w:t xml:space="preserve"> “…</w:t>
      </w:r>
      <w:r w:rsidRPr="004A0D77">
        <w:rPr>
          <w:rFonts w:eastAsia="Calibri"/>
          <w:i/>
          <w:color w:val="000000" w:themeColor="text1"/>
          <w:lang w:val="es-ES"/>
        </w:rPr>
        <w:t xml:space="preserve">Max Weber, al referirse a los grupos </w:t>
      </w:r>
      <w:r w:rsidRPr="004A0D77">
        <w:rPr>
          <w:rFonts w:eastAsia="Calibri"/>
          <w:b/>
          <w:i/>
          <w:color w:val="000000" w:themeColor="text1"/>
          <w:lang w:val="es-ES"/>
        </w:rPr>
        <w:t>étnicos</w:t>
      </w:r>
      <w:r w:rsidRPr="004A0D77">
        <w:rPr>
          <w:rFonts w:eastAsia="Calibri"/>
          <w:i/>
          <w:color w:val="000000" w:themeColor="text1"/>
          <w:lang w:val="es-ES"/>
        </w:rPr>
        <w:t xml:space="preserve">, sostiene que es necesario subrayar algunas cuestiones que hacen al propósito de "desnaturalizar" las clasificaciones que se trazan respecto a tales unidades. Considera en </w:t>
      </w:r>
      <w:r w:rsidRPr="004A0D77">
        <w:rPr>
          <w:rFonts w:eastAsia="Calibri"/>
          <w:b/>
          <w:i/>
          <w:color w:val="000000" w:themeColor="text1"/>
          <w:lang w:val="es-ES"/>
        </w:rPr>
        <w:t>primer lugar</w:t>
      </w:r>
      <w:r w:rsidRPr="004A0D77">
        <w:rPr>
          <w:rFonts w:eastAsia="Calibri"/>
          <w:i/>
          <w:color w:val="000000" w:themeColor="text1"/>
          <w:lang w:val="es-ES"/>
        </w:rPr>
        <w:t xml:space="preserve">, que el grupo étnico es una construcción social cuya existencia es siempre </w:t>
      </w:r>
      <w:r w:rsidRPr="004A0D77">
        <w:rPr>
          <w:rFonts w:eastAsia="Calibri"/>
          <w:i/>
          <w:color w:val="000000" w:themeColor="text1"/>
          <w:lang w:val="es-ES"/>
        </w:rPr>
        <w:lastRenderedPageBreak/>
        <w:t xml:space="preserve">problemática. En </w:t>
      </w:r>
      <w:r w:rsidRPr="004A0D77">
        <w:rPr>
          <w:rFonts w:eastAsia="Calibri"/>
          <w:b/>
          <w:i/>
          <w:color w:val="000000" w:themeColor="text1"/>
          <w:lang w:val="es-ES"/>
        </w:rPr>
        <w:t>segundo lugar</w:t>
      </w:r>
      <w:r w:rsidRPr="004A0D77">
        <w:rPr>
          <w:rFonts w:eastAsia="Calibri"/>
          <w:i/>
          <w:color w:val="000000" w:themeColor="text1"/>
          <w:lang w:val="es-ES"/>
        </w:rPr>
        <w:t xml:space="preserve">, se opone a los abordajes que hacen del aislamiento geográfico y social la base de la diversidad étnica. En </w:t>
      </w:r>
      <w:r w:rsidRPr="004A0D77">
        <w:rPr>
          <w:rFonts w:eastAsia="Calibri"/>
          <w:b/>
          <w:i/>
          <w:color w:val="000000" w:themeColor="text1"/>
          <w:lang w:val="es-ES"/>
        </w:rPr>
        <w:t>tercer lugar</w:t>
      </w:r>
      <w:r w:rsidRPr="004A0D77">
        <w:rPr>
          <w:rFonts w:eastAsia="Calibri"/>
          <w:i/>
          <w:color w:val="000000" w:themeColor="text1"/>
          <w:lang w:val="es-ES"/>
        </w:rPr>
        <w:t>, reconoce que la identidad de un grupo étnico se da en la comunicación de las diferencias, de las cuales los individuos se apropian para establecer fronteras étnicas”.</w:t>
      </w:r>
      <w:r w:rsidRPr="004A0D77">
        <w:rPr>
          <w:rFonts w:eastAsia="Calibri"/>
          <w:color w:val="000000" w:themeColor="text1"/>
          <w:lang w:val="es-ES"/>
        </w:rPr>
        <w:t xml:space="preserve"> </w:t>
      </w:r>
    </w:p>
    <w:p w14:paraId="64CF5BD6" w14:textId="77777777" w:rsidR="001803FB" w:rsidRPr="004A0D77" w:rsidRDefault="001803FB" w:rsidP="001803FB">
      <w:pPr>
        <w:spacing w:line="360" w:lineRule="auto"/>
        <w:jc w:val="both"/>
        <w:rPr>
          <w:color w:val="000000" w:themeColor="text1"/>
          <w:lang w:val="es-ES"/>
        </w:rPr>
      </w:pPr>
    </w:p>
    <w:p w14:paraId="616594F7" w14:textId="77777777" w:rsidR="001803FB" w:rsidRPr="004A0D77" w:rsidRDefault="001803FB" w:rsidP="001803FB">
      <w:pPr>
        <w:spacing w:after="200" w:line="360" w:lineRule="auto"/>
        <w:jc w:val="both"/>
        <w:rPr>
          <w:color w:val="000000" w:themeColor="text1"/>
          <w:lang w:val="es-ES"/>
        </w:rPr>
      </w:pPr>
      <w:r w:rsidRPr="004A0D77">
        <w:rPr>
          <w:color w:val="000000" w:themeColor="text1"/>
          <w:lang w:val="es-ES"/>
        </w:rPr>
        <w:t xml:space="preserve">El turismo étnico es definido por </w:t>
      </w:r>
      <w:r w:rsidRPr="004A0D77">
        <w:rPr>
          <w:color w:val="000000" w:themeColor="text1"/>
          <w:lang w:val="es-ES"/>
        </w:rPr>
        <w:fldChar w:fldCharType="begin" w:fldLock="1"/>
      </w:r>
      <w:r w:rsidRPr="004A0D77">
        <w:rPr>
          <w:color w:val="000000" w:themeColor="text1"/>
          <w:lang w:val="es-ES"/>
        </w:rPr>
        <w:instrText>ADDIN CSL_CITATION { "citationItems" : [ { "id" : "ITEM-1", "itemData" : { "abstract" : "Cada a\u00f1o, millones de turistas exploran el mundo por lugares ex\u00f3ticos donde pueden escapar de su propio mundo y encontrar otro. Uno de estos lugares es San Crist\u00f3bal de las Casas, en Chiapas, M\u00e9xico, donde se pueden observar los turistas alemanes, luchando con palillos en un restaurante chino, con el acompa\u00f1amiento de la m\u00fasica pseudo-chino jugado en un piano de pulgar africano por un negro americano de San Francisco. San Crist\u00f3bal es una de las fronteras de turismo \u00e9tnico en el que se re\u00fanen privilegiada, adinerada y acomodada a los pobres, luchando y ex\u00f3tico. Los datos recogidos entre 1977 a 1987 muestran la ciudad pasar de ver un peque\u00f1o volumen diario de los turistas en su mayor\u00eda de la mochila para el alojamiento de un flujo diario de cientos de turistas de todo tipo.", "author" : [ { "dropping-particle" : "", "family" : "Berghe", "given" : "", "non-dropping-particle" : "Van den", "parse-names" : false, "suffix" : "" } ], "id" : "ITEM-1", "issued" : { "date-parts" : [ [ "1994" ] ] }, "number-of-pages" : "169", "title" : "The quest for the other: ethnic tourism in San Crist\u00f3bal, Mexico.", "type" : "book" }, "uris" : [ "http://www.mendeley.com/documents/?uuid=569a8559-2fe7-493e-9bda-a5725c2e46d3" ] } ], "mendeley" : { "formattedCitation" : "(Van den Berghe, 1994)", "manualFormatting" : "Van den Berghe (1994)", "plainTextFormattedCitation" : "(Van den Berghe, 1994)", "previouslyFormattedCitation" : "(Van den Berghe, 1994)" }, "properties" : { "noteIndex" : 0 }, "schema" : "https://github.com/citation-style-language/schema/raw/master/csl-citation.json" }</w:instrText>
      </w:r>
      <w:r w:rsidRPr="004A0D77">
        <w:rPr>
          <w:color w:val="000000" w:themeColor="text1"/>
          <w:lang w:val="es-ES"/>
        </w:rPr>
        <w:fldChar w:fldCharType="separate"/>
      </w:r>
      <w:r w:rsidRPr="004A0D77">
        <w:rPr>
          <w:noProof/>
          <w:color w:val="000000" w:themeColor="text1"/>
          <w:lang w:val="es-ES"/>
        </w:rPr>
        <w:t>Van den Berghe (1994)</w:t>
      </w:r>
      <w:r w:rsidRPr="004A0D77">
        <w:rPr>
          <w:color w:val="000000" w:themeColor="text1"/>
          <w:lang w:val="es-ES"/>
        </w:rPr>
        <w:fldChar w:fldCharType="end"/>
      </w:r>
      <w:r w:rsidRPr="004A0D77">
        <w:rPr>
          <w:color w:val="000000" w:themeColor="text1"/>
          <w:lang w:val="es-ES"/>
        </w:rPr>
        <w:t xml:space="preserve"> como la búsqueda de encuentros auténticos con otras etnias, es también conocido como turismo indígena o turismo campesino, es el turismo rural o el turismo vinculado a la naturaleza o ecoturismo, a veces también vinculado al turismo-aventura. Es esta precisamente una de las  particularidades del turismo étnico, la experiencia opuesta generada por la homogenización, la inestabilidad de la experiencia turística urbana frente a la autenticidad de una experiencia denominada del cuarto mundo. El contexto propio para el desarrollo del turismo étnico se da básicamente en sitios turísticos considerados áreas naturales protegidas, o próximos a ellas, que generalmente son gestionados por comunidades indígenas o empresas familiares</w:t>
      </w:r>
      <w:r w:rsidRPr="004A0D77">
        <w:rPr>
          <w:color w:val="000000" w:themeColor="text1"/>
          <w:shd w:val="clear" w:color="auto" w:fill="FFFFFF"/>
          <w:lang w:val="es-ES"/>
        </w:rPr>
        <w:t xml:space="preserve">  </w:t>
      </w:r>
      <w:r w:rsidRPr="004A0D77">
        <w:rPr>
          <w:color w:val="000000" w:themeColor="text1"/>
          <w:shd w:val="clear" w:color="auto" w:fill="FFFFFF"/>
          <w:lang w:val="es-ES"/>
        </w:rPr>
        <w:fldChar w:fldCharType="begin" w:fldLock="1"/>
      </w:r>
      <w:r w:rsidRPr="004A0D77">
        <w:rPr>
          <w:color w:val="000000" w:themeColor="text1"/>
          <w:shd w:val="clear" w:color="auto" w:fill="FFFFFF"/>
          <w:lang w:val="es-ES"/>
        </w:rPr>
        <w:instrText>ADDIN CSL_CITATION { "citationItems" : [ { "id" : "ITEM-1", "itemData" : { "abstract" : "El turismo ind\u00edgena urbano es un fen\u00f3meno singular en Am\u00e9rica Latina. Si se examina la experiencia latinoamericana en casos como M\u00e9xico, Guatemala, Per\u00fa y Bolivia, lo que se denomina generalmente como turismo ind\u00edgena se concentra en \u00e1reas rurales o campesinas e incluso, en varios casos, no se denomina turismo ind\u00edgena sino simplemente turismo campesino. Este art\u00edculo sistematiza y teoriza en torno a algunas experiencias de turismo especial desarrolladas recientemente en Santiago de Chile con varias organizaciones ind\u00edgenas (mapuches, aymaras y rapa nui) que desarrollan sus actividades culturales en diversos centros ceremoniales urbanos, valorizando y preservando el patrimonio y la identidad cultural ind\u00edgena en la gran ciudad. En los \u00faltimos a\u00f1os se han generado iniciativas innovadoras tendientes a formar redes de turismo ind\u00edgena en la Regi\u00f3n Metropolitana, dando paso a forjar un nuevo paradigma del turismo ind\u00edgena urbano. Estas actividades, aunque todav\u00eda incipientes, son generalmente desarrolladas a partir del pensamiento, reflexi\u00f3n y acciones de las comunidades ind\u00edgenas, actores quienes hacen sus propias propuestas, con el fin de construir un patr\u00f3n que los haga part\u00edcipes de un turismo ind\u00edgena, urbano y con identidad cultural.", "author" : [ { "dropping-particle" : "", "family" : "Parker", "given" : "Cristi\u00e1n", "non-dropping-particle" : "", "parse-names" : false, "suffix" : "" }, { "dropping-particle" : "", "family" : "Moreno", "given" : "Alberto", "non-dropping-particle" : "", "parse-names" : false, "suffix" : "" } ], "id" : "ITEM-1", "issued" : { "date-parts" : [ [ "2015" ] ] }, "page" : "231-246", "title" : "Turismo ind\u00edgena urbano, \u00bfinnovaci\u00f3n identitaria? *", "type" : "article-journal" }, "uris" : [ "http://www.mendeley.com/documents/?uuid=30e4fae9-18d8-4781-bccc-351c07c08bbf" ] } ], "mendeley" : { "formattedCitation" : "(Parker &amp; Moreno, 2015)", "manualFormatting" : "(Parker y Moreno, 2015)", "plainTextFormattedCitation" : "(Parker &amp; Moreno, 2015)", "previouslyFormattedCitation" : "(Parker &amp; Moreno, 2015)" }, "properties" : { "noteIndex" : 0 }, "schema" : "https://github.com/citation-style-language/schema/raw/master/csl-citation.json" }</w:instrText>
      </w:r>
      <w:r w:rsidRPr="004A0D77">
        <w:rPr>
          <w:color w:val="000000" w:themeColor="text1"/>
          <w:shd w:val="clear" w:color="auto" w:fill="FFFFFF"/>
          <w:lang w:val="es-ES"/>
        </w:rPr>
        <w:fldChar w:fldCharType="separate"/>
      </w:r>
      <w:r w:rsidRPr="004A0D77">
        <w:rPr>
          <w:noProof/>
          <w:color w:val="000000" w:themeColor="text1"/>
          <w:shd w:val="clear" w:color="auto" w:fill="FFFFFF"/>
          <w:lang w:val="es-ES"/>
        </w:rPr>
        <w:t>(Parker y Moreno, 2015)</w:t>
      </w:r>
      <w:r w:rsidRPr="004A0D77">
        <w:rPr>
          <w:color w:val="000000" w:themeColor="text1"/>
          <w:shd w:val="clear" w:color="auto" w:fill="FFFFFF"/>
          <w:lang w:val="es-ES"/>
        </w:rPr>
        <w:fldChar w:fldCharType="end"/>
      </w:r>
      <w:r w:rsidRPr="004A0D77">
        <w:rPr>
          <w:color w:val="000000" w:themeColor="text1"/>
          <w:lang w:val="es-ES"/>
        </w:rPr>
        <w:t>.</w:t>
      </w:r>
      <w:r w:rsidRPr="004A0D77">
        <w:rPr>
          <w:color w:val="000000" w:themeColor="text1"/>
          <w:shd w:val="clear" w:color="auto" w:fill="FFFFFF"/>
          <w:lang w:val="es-ES"/>
        </w:rPr>
        <w:t xml:space="preserve"> </w:t>
      </w:r>
      <w:r w:rsidRPr="004A0D77">
        <w:rPr>
          <w:color w:val="000000" w:themeColor="text1"/>
          <w:lang w:val="es-ES"/>
        </w:rPr>
        <w:t xml:space="preserve">Sin embargo muy recientemente los entes territoriales o gubernamentales han tomado participación en esta oportunidad de los gobiernos para facilitar el desarrollo local, regional o nacional y preservar el patrimonio como identidad de un territorio </w:t>
      </w:r>
      <w:r w:rsidRPr="004A0D77">
        <w:rPr>
          <w:color w:val="000000" w:themeColor="text1"/>
          <w:lang w:val="es-ES"/>
        </w:rPr>
        <w:fldChar w:fldCharType="begin" w:fldLock="1"/>
      </w:r>
      <w:r w:rsidRPr="004A0D77">
        <w:rPr>
          <w:color w:val="000000" w:themeColor="text1"/>
          <w:lang w:val="es-ES"/>
        </w:rPr>
        <w:instrText>ADDIN CSL_CITATION { "citationItems" : [ { "id" : "ITEM-1", "itemData" : { "DOI" : "10.1016/j.annals.2008.06.005", "ISBN" : "0160-7383", "ISSN" : "01607383", "abstract" : "Ethnic tourism is often used by governments to facilitate development and to preserve heritage. This paper examines the relationship between government and tourism in Xishuangbanna, China. Different levels of government play key but different roles in development through regulation of production, consumption, and investment. Their policies and decisions tend to create tensions when they promote tourism as a regional development strategy as a result of contradictions in regulations, ethnic rights, and relationships with entrepreneurs. It is concluded that more nuanced government policies could mitigate many of the issues. Future tourism planning should provide greater control of tourism by local ethnic people, cultural preservation, and public participation in decision-making processes. ?? 2008 Elsevier Ltd. All rights reserved.", "author" : [ { "dropping-particle" : "", "family" : "Yang", "given" : "Li", "non-dropping-particle" : "", "parse-names" : false, "suffix" : "" }, { "dropping-particle" : "", "family" : "Wall", "given" : "Geoffrey", "non-dropping-particle" : "", "parse-names" : false, "suffix" : "" }, { "dropping-particle" : "", "family" : "Smith", "given" : "Stephen L J", "non-dropping-particle" : "", "parse-names" : false, "suffix" : "" } ], "container-title" : "Annals of Tourism Research", "id" : "ITEM-1", "issue" : "3", "issued" : { "date-parts" : [ [ "2008" ] ] }, "page" : "751-771", "title" : "Ethnic tourism development:. Chinese Government Perspectives", "type" : "article-journal", "volume" : "35" }, "uris" : [ "http://www.mendeley.com/documents/?uuid=0d20c953-b427-4bfa-8100-b34f2dd3f342" ] } ], "mendeley" : { "formattedCitation" : "(Yang et al., 2008)", "plainTextFormattedCitation" : "(Yang et al., 2008)", "previouslyFormattedCitation" : "(Yang et al., 2008)" }, "properties" : { "noteIndex" : 0 }, "schema" : "https://github.com/citation-style-language/schema/raw/master/csl-citation.json" }</w:instrText>
      </w:r>
      <w:r w:rsidRPr="004A0D77">
        <w:rPr>
          <w:color w:val="000000" w:themeColor="text1"/>
          <w:lang w:val="es-ES"/>
        </w:rPr>
        <w:fldChar w:fldCharType="separate"/>
      </w:r>
      <w:r w:rsidRPr="004A0D77">
        <w:rPr>
          <w:noProof/>
          <w:color w:val="000000" w:themeColor="text1"/>
          <w:lang w:val="es-ES"/>
        </w:rPr>
        <w:t>(Yang et al., 2008)</w:t>
      </w:r>
      <w:r w:rsidRPr="004A0D77">
        <w:rPr>
          <w:color w:val="000000" w:themeColor="text1"/>
          <w:lang w:val="es-ES"/>
        </w:rPr>
        <w:fldChar w:fldCharType="end"/>
      </w:r>
      <w:r w:rsidRPr="004A0D77">
        <w:rPr>
          <w:color w:val="000000" w:themeColor="text1"/>
          <w:lang w:val="es-ES"/>
        </w:rPr>
        <w:t>.</w:t>
      </w:r>
    </w:p>
    <w:p w14:paraId="1110A46C" w14:textId="7FB4832B" w:rsidR="001803FB" w:rsidRPr="004A0D77" w:rsidRDefault="000840E7" w:rsidP="001803FB">
      <w:pPr>
        <w:pStyle w:val="Ttulo2"/>
        <w:numPr>
          <w:ilvl w:val="0"/>
          <w:numId w:val="0"/>
        </w:numPr>
        <w:ind w:left="576" w:hanging="576"/>
        <w:rPr>
          <w:rFonts w:ascii="Times New Roman" w:hAnsi="Times New Roman" w:cs="Times New Roman"/>
          <w:i w:val="0"/>
          <w:color w:val="000000" w:themeColor="text1"/>
          <w:szCs w:val="24"/>
        </w:rPr>
      </w:pPr>
      <w:bookmarkStart w:id="10" w:name="_Toc467616441"/>
      <w:r>
        <w:rPr>
          <w:rFonts w:ascii="Times New Roman" w:hAnsi="Times New Roman" w:cs="Times New Roman"/>
          <w:i w:val="0"/>
          <w:color w:val="000000" w:themeColor="text1"/>
          <w:szCs w:val="24"/>
        </w:rPr>
        <w:t>2.4</w:t>
      </w:r>
      <w:r>
        <w:rPr>
          <w:rFonts w:ascii="Times New Roman" w:hAnsi="Times New Roman" w:cs="Times New Roman"/>
          <w:i w:val="0"/>
          <w:color w:val="000000" w:themeColor="text1"/>
          <w:szCs w:val="24"/>
        </w:rPr>
        <w:tab/>
      </w:r>
      <w:r w:rsidR="001803FB" w:rsidRPr="004A0D77">
        <w:rPr>
          <w:rFonts w:ascii="Times New Roman" w:hAnsi="Times New Roman" w:cs="Times New Roman"/>
          <w:i w:val="0"/>
          <w:color w:val="000000" w:themeColor="text1"/>
          <w:szCs w:val="24"/>
        </w:rPr>
        <w:t>La Etnia Wayuu en Colombia</w:t>
      </w:r>
      <w:bookmarkEnd w:id="10"/>
    </w:p>
    <w:p w14:paraId="295FC491" w14:textId="77777777" w:rsidR="001803FB" w:rsidRPr="004A0D77" w:rsidRDefault="001803FB" w:rsidP="001803FB">
      <w:pPr>
        <w:spacing w:line="360" w:lineRule="auto"/>
        <w:jc w:val="both"/>
        <w:rPr>
          <w:color w:val="000000" w:themeColor="text1"/>
          <w:lang w:val="es-ES"/>
        </w:rPr>
      </w:pPr>
      <w:r w:rsidRPr="004A0D77">
        <w:rPr>
          <w:color w:val="000000" w:themeColor="text1"/>
          <w:lang w:val="es-ES"/>
        </w:rPr>
        <w:t xml:space="preserve">Según el ultimo censo realizado en Colombia por el </w:t>
      </w:r>
      <w:r w:rsidRPr="004A0D77">
        <w:rPr>
          <w:color w:val="000000" w:themeColor="text1"/>
          <w:lang w:val="es-ES"/>
        </w:rPr>
        <w:fldChar w:fldCharType="begin" w:fldLock="1"/>
      </w:r>
      <w:r w:rsidRPr="004A0D77">
        <w:rPr>
          <w:color w:val="000000" w:themeColor="text1"/>
          <w:lang w:val="es-ES"/>
        </w:rPr>
        <w:instrText>ADDIN CSL_CITATION { "citationItems" : [ { "id" : "ITEM-1", "itemData" : { "abstract" : "Colombia es un pa\u00eds pluri\u00e9tnico y multiling\u00fce1 en el que se diferencian de la sociedad mayoritaria cuatro grupos \u00e9tnicos reconocidos: la poblaci\u00f3n ind\u00edgena, la poblaci\u00f3n raizal del Archipi\u00e9lago de San Andr\u00e9s, Providencia y Santa Catalina, la poblaci\u00f3n negra o afrocolombiana - de la que hacen parte los Palenqueros de San Basilio del municipio de Mahates en el departamento de Bol\u00edvar- y la poblaci\u00f3n Rom o gitana.", "author" : [ { "dropping-particle" : "", "family" : "Departamento Administrativo Nacional de Estadistica (DANE)", "given" : "", "non-dropping-particle" : "", "parse-names" : false, "suffix" : "" } ], "id" : "ITEM-1", "issued" : { "date-parts" : [ [ "2010" ] ] }, "page" : "56", "title" : "La visibilizaci\u00f3n estad\u00edstica de los grupos \u00e9tnicos colombianos", "type" : "article-journal" }, "uris" : [ "http://www.mendeley.com/documents/?uuid=96d273f8-5d7c-4cda-a0af-a07611241d12" ] } ], "mendeley" : { "formattedCitation" : "(Departamento Administrativo Nacional de Estadistica (DANE), 2010)", "manualFormatting" : "Departamento Administrativo Nacional de Estad\u00edstica (DANE, 2010)", "plainTextFormattedCitation" : "(Departamento Administrativo Nacional de Estadistica (DANE), 2010)", "previouslyFormattedCitation" : "(Departamento Administrativo Nacional de Estadistica (DANE), 2010)" }, "properties" : { "noteIndex" : 0 }, "schema" : "https://github.com/citation-style-language/schema/raw/master/csl-citation.json" }</w:instrText>
      </w:r>
      <w:r w:rsidRPr="004A0D77">
        <w:rPr>
          <w:color w:val="000000" w:themeColor="text1"/>
          <w:lang w:val="es-ES"/>
        </w:rPr>
        <w:fldChar w:fldCharType="separate"/>
      </w:r>
      <w:r w:rsidRPr="004A0D77">
        <w:rPr>
          <w:noProof/>
          <w:color w:val="000000" w:themeColor="text1"/>
          <w:lang w:val="es-ES"/>
        </w:rPr>
        <w:t>Departamento Administrativo Nacional de Estadística (DANE, 2010)</w:t>
      </w:r>
      <w:r w:rsidRPr="004A0D77">
        <w:rPr>
          <w:color w:val="000000" w:themeColor="text1"/>
          <w:lang w:val="es-ES"/>
        </w:rPr>
        <w:fldChar w:fldCharType="end"/>
      </w:r>
      <w:r w:rsidRPr="004A0D77">
        <w:rPr>
          <w:color w:val="000000" w:themeColor="text1"/>
          <w:lang w:val="es-ES"/>
        </w:rPr>
        <w:t xml:space="preserve"> la población indígena nacional representa un 3,43% de la población total colombiana, es decir 1.392.623 habitantes indígenas, de esta segmento poblacional el departamento de La Guajira es el tercer departamento del país con mayor población indígena en Colombia con una representatividad del (44,94%) siguiendo en su orden a los departamentos de Guainía (64,90%) y Vaupés (66,65%).</w:t>
      </w:r>
    </w:p>
    <w:p w14:paraId="5A04BB53" w14:textId="77777777" w:rsidR="001803FB" w:rsidRPr="004A0D77" w:rsidRDefault="001803FB" w:rsidP="001803FB">
      <w:pPr>
        <w:spacing w:line="360" w:lineRule="auto"/>
        <w:jc w:val="both"/>
        <w:rPr>
          <w:color w:val="000000" w:themeColor="text1"/>
          <w:lang w:val="es-ES"/>
        </w:rPr>
      </w:pPr>
    </w:p>
    <w:p w14:paraId="02935864" w14:textId="77777777" w:rsidR="001803FB" w:rsidRPr="004A0D77" w:rsidRDefault="001803FB" w:rsidP="001803FB">
      <w:pPr>
        <w:spacing w:line="360" w:lineRule="auto"/>
        <w:jc w:val="both"/>
        <w:rPr>
          <w:color w:val="000000" w:themeColor="text1"/>
          <w:lang w:val="es-ES"/>
        </w:rPr>
      </w:pPr>
      <w:r w:rsidRPr="004A0D77">
        <w:rPr>
          <w:color w:val="000000" w:themeColor="text1"/>
          <w:lang w:val="es-ES"/>
        </w:rPr>
        <w:t xml:space="preserve">La población Wayúu se concentra en el departamento de la Guajira, en donde habita el 98,03% del total. Le siguen Cesar con el 0,48% (1.293 personas) y Magdalena con el 0,42% (1.127 personas). Estos departamentos concentran el 98,92% poblacional de este pueblo. Los Wayúu representan el 19,42% de la población indígena de Colombia. La población Wayúu que habita en zonas urbanas corresponde al 12,22% (33.038 personas), cifra inferior al promedio nacional </w:t>
      </w:r>
      <w:r w:rsidRPr="004A0D77">
        <w:rPr>
          <w:color w:val="000000" w:themeColor="text1"/>
          <w:lang w:val="es-ES"/>
        </w:rPr>
        <w:lastRenderedPageBreak/>
        <w:t xml:space="preserve">de población indígena urbana que es del 21,43% (298.499 personas) </w:t>
      </w:r>
      <w:r w:rsidRPr="004A0D77">
        <w:rPr>
          <w:color w:val="000000" w:themeColor="text1"/>
          <w:lang w:val="es-ES"/>
        </w:rPr>
        <w:fldChar w:fldCharType="begin" w:fldLock="1"/>
      </w:r>
      <w:r w:rsidRPr="004A0D77">
        <w:rPr>
          <w:color w:val="000000" w:themeColor="text1"/>
          <w:lang w:val="es-ES"/>
        </w:rPr>
        <w:instrText>ADDIN CSL_CITATION { "citationItems" : [ { "id" : "ITEM-1", "itemData" : { "URL" : "http://siic.mininterior.gov.co/sites/default/files/upload/SIIC/PueblosIndigenas/pueblo_way_u.pdf", "author" : [ { "dropping-particle" : "", "family" : "Mininterior", "given" : "", "non-dropping-particle" : "", "parse-names" : false, "suffix" : "" } ], "id" : "ITEM-1", "issued" : { "date-parts" : [ [ "2007" ] ] }, "title" : "Poblacion Wayuu en Colombia", "type" : "webpage" }, "uris" : [ "http://www.mendeley.com/documents/?uuid=5ce3a825-a63f-4205-8291-40425470d9c4" ] } ], "mendeley" : { "formattedCitation" : "(Mininterior, 2007)", "plainTextFormattedCitation" : "(Mininterior, 2007)", "previouslyFormattedCitation" : "(Mininterior, 2007)" }, "properties" : { "noteIndex" : 0 }, "schema" : "https://github.com/citation-style-language/schema/raw/master/csl-citation.json" }</w:instrText>
      </w:r>
      <w:r w:rsidRPr="004A0D77">
        <w:rPr>
          <w:color w:val="000000" w:themeColor="text1"/>
          <w:lang w:val="es-ES"/>
        </w:rPr>
        <w:fldChar w:fldCharType="separate"/>
      </w:r>
      <w:r w:rsidRPr="004A0D77">
        <w:rPr>
          <w:noProof/>
          <w:color w:val="000000" w:themeColor="text1"/>
          <w:lang w:val="es-ES"/>
        </w:rPr>
        <w:t>(Mininterior, 2007)</w:t>
      </w:r>
      <w:r w:rsidRPr="004A0D77">
        <w:rPr>
          <w:color w:val="000000" w:themeColor="text1"/>
          <w:lang w:val="es-ES"/>
        </w:rPr>
        <w:fldChar w:fldCharType="end"/>
      </w:r>
      <w:r w:rsidRPr="004A0D77">
        <w:rPr>
          <w:color w:val="000000" w:themeColor="text1"/>
          <w:lang w:val="es-ES"/>
        </w:rPr>
        <w:t xml:space="preserve"> ver grafico No 1.</w:t>
      </w:r>
    </w:p>
    <w:p w14:paraId="69B2A3C1" w14:textId="77777777" w:rsidR="001803FB" w:rsidRPr="004A0D77" w:rsidRDefault="001803FB" w:rsidP="001803FB">
      <w:pPr>
        <w:spacing w:line="360" w:lineRule="auto"/>
        <w:jc w:val="both"/>
        <w:rPr>
          <w:color w:val="000000" w:themeColor="text1"/>
          <w:lang w:val="es-ES"/>
        </w:rPr>
      </w:pPr>
    </w:p>
    <w:p w14:paraId="0541227F" w14:textId="77777777" w:rsidR="001803FB" w:rsidRPr="004A0D77" w:rsidRDefault="001803FB" w:rsidP="001803FB">
      <w:pPr>
        <w:spacing w:line="360" w:lineRule="auto"/>
        <w:jc w:val="both"/>
        <w:rPr>
          <w:color w:val="000000" w:themeColor="text1"/>
          <w:lang w:val="es-ES"/>
        </w:rPr>
      </w:pPr>
      <w:r w:rsidRPr="004A0D77">
        <w:rPr>
          <w:color w:val="000000" w:themeColor="text1"/>
          <w:lang w:val="es-ES"/>
        </w:rPr>
        <w:t xml:space="preserve">En Colombia, la Comunidad Wayúu está localizada en la península de la Guajira, al norte de Colombia y noroeste de Venezuela en el estado Zulia, estos ocupan un Área de 1.080.336 hectáreas, ubicadas en su mayoría en el Resguardo de la Alta y Media Guajira y, en ocho resguardos, los más grandes ubicados en la Alta y Media Guajira (1.067.505,45 Has), Carraipia (5.115,00 Has) y Trupiogacho y la Meseta (2.309,76 Has).  Los Wayuu Poseen una de las nueve lenguas de origen amerindio de la familia Arawac, presentes en el panorama lingüístico del Caribe colombiano, aunque existen dos formas dialécticas entre los habitantes de la alta y la baja Guajira, esta no impide su proceso de comunicación </w:t>
      </w:r>
      <w:r w:rsidRPr="004A0D77">
        <w:rPr>
          <w:color w:val="000000" w:themeColor="text1"/>
          <w:lang w:val="es-ES"/>
        </w:rPr>
        <w:fldChar w:fldCharType="begin" w:fldLock="1"/>
      </w:r>
      <w:r w:rsidRPr="004A0D77">
        <w:rPr>
          <w:color w:val="000000" w:themeColor="text1"/>
          <w:lang w:val="es-ES"/>
        </w:rPr>
        <w:instrText>ADDIN CSL_CITATION { "citationItems" : [ { "id" : "ITEM-1", "itemData" : { "URL" : "http://siic.mininterior.gov.co/sites/default/files/upload/SIIC/PueblosIndigenas/pueblo_way_u.pdf", "author" : [ { "dropping-particle" : "", "family" : "Mininterior", "given" : "", "non-dropping-particle" : "", "parse-names" : false, "suffix" : "" } ], "id" : "ITEM-1", "issued" : { "date-parts" : [ [ "2007" ] ] }, "title" : "Poblacion Wayuu en Colombia", "type" : "webpage" }, "uris" : [ "http://www.mendeley.com/documents/?uuid=5ce3a825-a63f-4205-8291-40425470d9c4" ] } ], "mendeley" : { "formattedCitation" : "(Mininterior, 2007)", "manualFormatting" : "(Mininterior et al, 2007)", "plainTextFormattedCitation" : "(Mininterior, 2007)", "previouslyFormattedCitation" : "(Mininterior, 2007)" }, "properties" : { "noteIndex" : 0 }, "schema" : "https://github.com/citation-style-language/schema/raw/master/csl-citation.json" }</w:instrText>
      </w:r>
      <w:r w:rsidRPr="004A0D77">
        <w:rPr>
          <w:color w:val="000000" w:themeColor="text1"/>
          <w:lang w:val="es-ES"/>
        </w:rPr>
        <w:fldChar w:fldCharType="separate"/>
      </w:r>
      <w:r w:rsidRPr="004A0D77">
        <w:rPr>
          <w:noProof/>
          <w:color w:val="000000" w:themeColor="text1"/>
          <w:lang w:val="es-ES"/>
        </w:rPr>
        <w:t>(Mininterior et al, 2007)</w:t>
      </w:r>
      <w:r w:rsidRPr="004A0D77">
        <w:rPr>
          <w:color w:val="000000" w:themeColor="text1"/>
          <w:lang w:val="es-ES"/>
        </w:rPr>
        <w:fldChar w:fldCharType="end"/>
      </w:r>
      <w:r w:rsidRPr="004A0D77">
        <w:rPr>
          <w:color w:val="000000" w:themeColor="text1"/>
          <w:lang w:val="es-ES"/>
        </w:rPr>
        <w:t>.</w:t>
      </w:r>
    </w:p>
    <w:p w14:paraId="7924894D" w14:textId="77777777" w:rsidR="001803FB" w:rsidRPr="004A0D77" w:rsidRDefault="001803FB" w:rsidP="001803FB">
      <w:pPr>
        <w:spacing w:line="360" w:lineRule="auto"/>
        <w:jc w:val="both"/>
        <w:rPr>
          <w:color w:val="000000" w:themeColor="text1"/>
          <w:lang w:val="es-ES"/>
        </w:rPr>
      </w:pPr>
    </w:p>
    <w:p w14:paraId="09B445E3" w14:textId="5610D31F" w:rsidR="001803FB" w:rsidRPr="004A0D77" w:rsidRDefault="001803FB" w:rsidP="001803FB">
      <w:pPr>
        <w:spacing w:line="360" w:lineRule="auto"/>
        <w:jc w:val="both"/>
        <w:rPr>
          <w:color w:val="000000" w:themeColor="text1"/>
          <w:lang w:val="es-ES"/>
        </w:rPr>
      </w:pPr>
      <w:r w:rsidRPr="004A0D77">
        <w:rPr>
          <w:color w:val="000000" w:themeColor="text1"/>
          <w:lang w:val="es-ES"/>
        </w:rPr>
        <w:t>El territorio tradicional del pueblo Wayúu comprende toda la península de la Guajira hasta el lago de Maracaibo, zonas aledañas a la Sierra Nevada de Santa Marta y la Serranía del Perijá (Cabo de la Vela), denominado “</w:t>
      </w:r>
      <w:proofErr w:type="spellStart"/>
      <w:r w:rsidRPr="004A0D77">
        <w:rPr>
          <w:color w:val="000000" w:themeColor="text1"/>
          <w:lang w:val="es-ES"/>
        </w:rPr>
        <w:t>Jepira</w:t>
      </w:r>
      <w:proofErr w:type="spellEnd"/>
      <w:r w:rsidRPr="004A0D77">
        <w:rPr>
          <w:color w:val="000000" w:themeColor="text1"/>
          <w:lang w:val="es-ES"/>
        </w:rPr>
        <w:t xml:space="preserve">” en la lengua del pueblo es un sitio sagrado de gran importancia para el pueblo, y se le asocia al último recorrido que hacen los espíritus hacia el fondo del mar, al cual se le denomina “la tierra de los guajiros muertos” </w:t>
      </w:r>
      <w:r w:rsidR="00F420B7">
        <w:rPr>
          <w:color w:val="000000" w:themeColor="text1"/>
          <w:lang w:val="es-ES"/>
        </w:rPr>
        <w:t xml:space="preserve"> ..(….).. </w:t>
      </w:r>
      <w:r w:rsidRPr="004A0D77">
        <w:rPr>
          <w:i/>
          <w:color w:val="000000" w:themeColor="text1"/>
          <w:lang w:val="es-ES"/>
        </w:rPr>
        <w:t>La organización social del pueblo Wayúu está asociada fuertemente a sus principios cosmogónicos y modos de representación mítica. Los sueños son un aspecto muy importante para el quehacer cotidiano del pueblo, puesto que explican la realidad del colectivo y de los individuos y se le confieren, además, poderes proféticos. La sociedad wayúu presenta una estructura compleja, es de cará</w:t>
      </w:r>
      <w:r w:rsidR="00D23A8C" w:rsidRPr="004A0D77">
        <w:rPr>
          <w:i/>
          <w:color w:val="000000" w:themeColor="text1"/>
          <w:lang w:val="es-ES"/>
        </w:rPr>
        <w:t>cter matrilineal y tiene unos 36</w:t>
      </w:r>
      <w:r w:rsidRPr="004A0D77">
        <w:rPr>
          <w:i/>
          <w:color w:val="000000" w:themeColor="text1"/>
          <w:lang w:val="es-ES"/>
        </w:rPr>
        <w:t xml:space="preserve"> clanes, cada uno con su propio territorio y su propio animal totémico. Dentro de la familia extendida, la autoridad máxima le corresponde al tío materno, quien interviene en todos los problemas familiares y domésticos</w:t>
      </w:r>
      <w:r w:rsidRPr="004A0D77">
        <w:rPr>
          <w:color w:val="000000" w:themeColor="text1"/>
          <w:lang w:val="es-ES"/>
        </w:rPr>
        <w:t xml:space="preserve"> </w:t>
      </w:r>
      <w:r w:rsidRPr="004A0D77">
        <w:rPr>
          <w:color w:val="000000" w:themeColor="text1"/>
          <w:lang w:val="es-ES"/>
        </w:rPr>
        <w:fldChar w:fldCharType="begin" w:fldLock="1"/>
      </w:r>
      <w:r w:rsidRPr="004A0D77">
        <w:rPr>
          <w:color w:val="000000" w:themeColor="text1"/>
          <w:lang w:val="es-ES"/>
        </w:rPr>
        <w:instrText>ADDIN CSL_CITATION { "citationItems" : [ { "id" : "ITEM-1", "itemData" : { "ISBN" : "8450528364", "author" : [ { "dropping-particle" : "", "family" : "MIncultura", "given" : "", "non-dropping-particle" : "", "parse-names" : false, "suffix" : "" } ], "id" : "ITEM-1", "issued" : { "date-parts" : [ [ "2004" ] ] }, "page" : "1-11", "title" : "Wayu\u00fa, gente de arena, sol y viento", "type" : "article-journal" }, "uris" : [ "http://www.mendeley.com/documents/?uuid=98f5a601-2ae4-435c-8b3b-b487f34ce025" ] } ], "mendeley" : { "formattedCitation" : "(MIncultura, 2004)", "plainTextFormattedCitation" : "(MIncultura, 2004)", "previouslyFormattedCitation" : "(MIncultura, 2004)" }, "properties" : { "noteIndex" : 0 }, "schema" : "https://github.com/citation-style-language/schema/raw/master/csl-citation.json" }</w:instrText>
      </w:r>
      <w:r w:rsidRPr="004A0D77">
        <w:rPr>
          <w:color w:val="000000" w:themeColor="text1"/>
          <w:lang w:val="es-ES"/>
        </w:rPr>
        <w:fldChar w:fldCharType="separate"/>
      </w:r>
      <w:r w:rsidR="00F420B7">
        <w:rPr>
          <w:noProof/>
          <w:color w:val="000000" w:themeColor="text1"/>
          <w:lang w:val="es-ES"/>
        </w:rPr>
        <w:t>(Mi</w:t>
      </w:r>
      <w:r w:rsidRPr="004A0D77">
        <w:rPr>
          <w:noProof/>
          <w:color w:val="000000" w:themeColor="text1"/>
          <w:lang w:val="es-ES"/>
        </w:rPr>
        <w:t>ncultura, 2004)</w:t>
      </w:r>
      <w:r w:rsidRPr="004A0D77">
        <w:rPr>
          <w:color w:val="000000" w:themeColor="text1"/>
          <w:lang w:val="es-ES"/>
        </w:rPr>
        <w:fldChar w:fldCharType="end"/>
      </w:r>
      <w:r w:rsidRPr="004A0D77">
        <w:rPr>
          <w:color w:val="000000" w:themeColor="text1"/>
          <w:lang w:val="es-ES"/>
        </w:rPr>
        <w:t>.</w:t>
      </w:r>
    </w:p>
    <w:p w14:paraId="63E9D321" w14:textId="77777777" w:rsidR="001803FB" w:rsidRPr="004A0D77" w:rsidRDefault="001803FB" w:rsidP="001803FB">
      <w:pPr>
        <w:spacing w:line="360" w:lineRule="auto"/>
        <w:jc w:val="both"/>
        <w:rPr>
          <w:color w:val="000000" w:themeColor="text1"/>
          <w:lang w:val="es-ES"/>
        </w:rPr>
      </w:pPr>
    </w:p>
    <w:p w14:paraId="1C5585A3" w14:textId="77777777" w:rsidR="001803FB" w:rsidRPr="004A0D77" w:rsidRDefault="001803FB" w:rsidP="001803FB">
      <w:pPr>
        <w:spacing w:line="360" w:lineRule="auto"/>
        <w:jc w:val="both"/>
        <w:rPr>
          <w:color w:val="000000" w:themeColor="text1"/>
          <w:lang w:val="es-ES"/>
        </w:rPr>
      </w:pPr>
      <w:r w:rsidRPr="004A0D77">
        <w:rPr>
          <w:color w:val="000000" w:themeColor="text1"/>
          <w:lang w:val="es-ES"/>
        </w:rPr>
        <w:t xml:space="preserve">Los indígenas Wayúu históricamente se han destacado por poseer habilidades artesanales, donde cada familia procura  trasmitir el arte artesanal Wayuu a sus generaciones con el fin de ser aportantes a la economía de su grupo mantener sus tradiciones con el uso de las habilidades manuales </w:t>
      </w:r>
      <w:r w:rsidRPr="004A0D77">
        <w:rPr>
          <w:color w:val="000000" w:themeColor="text1"/>
          <w:lang w:val="es-ES"/>
        </w:rPr>
        <w:fldChar w:fldCharType="begin" w:fldLock="1"/>
      </w:r>
      <w:r w:rsidRPr="004A0D77">
        <w:rPr>
          <w:color w:val="000000" w:themeColor="text1"/>
          <w:lang w:val="es-ES"/>
        </w:rPr>
        <w:instrText>ADDIN CSL_CITATION { "citationItems" : [ { "id" : "ITEM-1", "itemData" : { "abstract" : "En la presente investigaci\u00f3n se realiz\u00f3 una aproximaci\u00f3n a las pr\u00e1cticas del mercado artesanal de los ind\u00edgenas way\u00fau en Riohacha (Colombia) con la finalidad de generar la comprensi\u00f3n del desarrollo comercial en su entorno socio-cultural, se elabor\u00f3 una revisi\u00f3n de la tem\u00e1tica descubriendo la ausencia de resultados emp\u00edricos y, por ello, se efectu\u00f3 una investigaci\u00f3n cualitativa con el m\u00e9todo etnogr\u00e1fico. Se realizaron entrevistas a profundidad, observaci\u00f3n-participante y consolidaci\u00f3n de resultados analizados en tres matrices: 1- M. Saturaci\u00f3n, 2- M. Caracter\u00edsticas y, 3-M. conceptos. Finalmente, los hallazgos encontrados generaron doce caracter\u00edsticas principales agrupadas en tres din\u00e1micas que conceptualizaron el contexto del mercado, los tipos de negociaci\u00f3n y la especificidad de la producci\u00f3n del comercio artesanal, con pr\u00e1cticas especializadas que emergen de la sociabilidad interna de este grupo en el marco de la subsistencia, autenticidad y resguardo de los valores Way\u00fau.", "author" : [ { "dropping-particle" : "", "family" : "Rojano", "given" : "Yolmis", "non-dropping-particle" : "", "parse-names" : false, "suffix" : "" }, { "dropping-particle" : "", "family" : "Contreras", "given" : "Margarita", "non-dropping-particle" : "", "parse-names" : false, "suffix" : "" }, { "dropping-particle" : "", "family" : "Mendoza", "given" : "Darcy", "non-dropping-particle" : "", "parse-names" : false, "suffix" : "" } ], "id" : "ITEM-1", "issued" : { "date-parts" : [ [ "2016" ] ] }, "number-of-pages" : "25", "publisher-place" : "Barranquilla - Colombia", "title" : "Pr\u00e1cticas del mercado artesanal de la Etnia Way\u00fau en Riohacha \u2013 La Guajira (Col): Un estudio Etnografico", "type" : "report" }, "uris" : [ "http://www.mendeley.com/documents/?uuid=2721c758-578d-4940-b287-27ec45dc16d0" ] } ], "mendeley" : { "formattedCitation" : "(Rojano, Contreras, &amp; Mendoza, 2016)", "manualFormatting" : "(Rojano, Contreras y Mendoza, 2016)", "plainTextFormattedCitation" : "(Rojano, Contreras, &amp; Mendoza, 2016)", "previouslyFormattedCitation" : "(Rojano, Contreras, &amp; Mendoza, 2016)" }, "properties" : { "noteIndex" : 0 }, "schema" : "https://github.com/citation-style-language/schema/raw/master/csl-citation.json" }</w:instrText>
      </w:r>
      <w:r w:rsidRPr="004A0D77">
        <w:rPr>
          <w:color w:val="000000" w:themeColor="text1"/>
          <w:lang w:val="es-ES"/>
        </w:rPr>
        <w:fldChar w:fldCharType="separate"/>
      </w:r>
      <w:r w:rsidRPr="004A0D77">
        <w:rPr>
          <w:noProof/>
          <w:color w:val="000000" w:themeColor="text1"/>
          <w:lang w:val="es-ES"/>
        </w:rPr>
        <w:t>(Rojano, Contreras y Mendoza, 2016)</w:t>
      </w:r>
      <w:r w:rsidRPr="004A0D77">
        <w:rPr>
          <w:color w:val="000000" w:themeColor="text1"/>
          <w:lang w:val="es-ES"/>
        </w:rPr>
        <w:fldChar w:fldCharType="end"/>
      </w:r>
      <w:r w:rsidRPr="004A0D77">
        <w:rPr>
          <w:color w:val="000000" w:themeColor="text1"/>
          <w:lang w:val="es-ES"/>
        </w:rPr>
        <w:t>.</w:t>
      </w:r>
    </w:p>
    <w:p w14:paraId="17F4803B" w14:textId="77777777" w:rsidR="001803FB" w:rsidRPr="004A0D77" w:rsidRDefault="001803FB" w:rsidP="001803FB">
      <w:pPr>
        <w:spacing w:line="360" w:lineRule="auto"/>
        <w:jc w:val="both"/>
        <w:rPr>
          <w:color w:val="000000" w:themeColor="text1"/>
          <w:lang w:val="es-ES"/>
        </w:rPr>
      </w:pPr>
    </w:p>
    <w:p w14:paraId="19E80BE3" w14:textId="23F1F369" w:rsidR="001803FB" w:rsidRPr="004A0D77" w:rsidRDefault="001803FB" w:rsidP="001803FB">
      <w:pPr>
        <w:spacing w:line="360" w:lineRule="auto"/>
        <w:jc w:val="both"/>
        <w:rPr>
          <w:color w:val="000000" w:themeColor="text1"/>
          <w:lang w:val="es-ES"/>
        </w:rPr>
      </w:pPr>
      <w:r w:rsidRPr="004A0D77">
        <w:rPr>
          <w:color w:val="000000" w:themeColor="text1"/>
          <w:lang w:val="es-ES"/>
        </w:rPr>
        <w:lastRenderedPageBreak/>
        <w:t>Tal vez una de las características principales de la etnia Wayuu es su capacidad para anteponerse a los adversos cambios generacionales, su naturaleza propia es la adversidad cuando deciden territorialmente vivir dispersa</w:t>
      </w:r>
      <w:r w:rsidR="00D23A8C" w:rsidRPr="004A0D77">
        <w:rPr>
          <w:color w:val="000000" w:themeColor="text1"/>
          <w:lang w:val="es-ES"/>
        </w:rPr>
        <w:t>mente.</w:t>
      </w:r>
      <w:r w:rsidRPr="004A0D77">
        <w:rPr>
          <w:color w:val="000000" w:themeColor="text1"/>
          <w:lang w:val="es-ES"/>
        </w:rPr>
        <w:t xml:space="preserve"> </w:t>
      </w:r>
      <w:r w:rsidR="00D23A8C" w:rsidRPr="004A0D77">
        <w:rPr>
          <w:color w:val="000000" w:themeColor="text1"/>
          <w:lang w:val="es-ES"/>
        </w:rPr>
        <w:t>L</w:t>
      </w:r>
      <w:r w:rsidRPr="004A0D77">
        <w:rPr>
          <w:color w:val="000000" w:themeColor="text1"/>
          <w:lang w:val="es-ES"/>
        </w:rPr>
        <w:t xml:space="preserve">a nación Wayuu vive a espaldas de las orientaciones establecidas en la política publica colombiana, pues durante mucho tiempo lograron mantener una autonomía política y social, para lo cual el contacto mismo con occidente se constituyo en un factor contradictoriamente positivo </w:t>
      </w:r>
      <w:r w:rsidRPr="004A0D77">
        <w:rPr>
          <w:color w:val="000000" w:themeColor="text1"/>
          <w:lang w:val="es-ES"/>
        </w:rPr>
        <w:fldChar w:fldCharType="begin" w:fldLock="1"/>
      </w:r>
      <w:r w:rsidRPr="004A0D77">
        <w:rPr>
          <w:color w:val="000000" w:themeColor="text1"/>
          <w:lang w:val="es-ES"/>
        </w:rPr>
        <w:instrText>ADDIN CSL_CITATION { "citationItems" : [ { "id" : "ITEM-1", "itemData" : { "author" : [ { "dropping-particle" : "", "family" : "Vasquez, s; Correa", "given" : "H", "non-dropping-particle" : "", "parse-names" : false, "suffix" : "" } ], "id" : "ITEM-1", "issued" : { "date-parts" : [ [ "1991" ] ] }, "title" : "500 a\u00f1os de autoafirmacion sal territorio y cultura.pdf", "type" : "article" }, "uris" : [ "http://www.mendeley.com/documents/?uuid=1c7ea6be-2204-4864-a83d-5af9c74191cd" ] } ], "mendeley" : { "formattedCitation" : "(Vasquez, s; Correa, 1991)", "manualFormatting" : "(Vasquez y Correa, 1991)", "plainTextFormattedCitation" : "(Vasquez, s; Correa, 1991)", "previouslyFormattedCitation" : "(Vasquez, s; Correa, 1991)" }, "properties" : { "noteIndex" : 0 }, "schema" : "https://github.com/citation-style-language/schema/raw/master/csl-citation.json" }</w:instrText>
      </w:r>
      <w:r w:rsidRPr="004A0D77">
        <w:rPr>
          <w:color w:val="000000" w:themeColor="text1"/>
          <w:lang w:val="es-ES"/>
        </w:rPr>
        <w:fldChar w:fldCharType="separate"/>
      </w:r>
      <w:r w:rsidRPr="004A0D77">
        <w:rPr>
          <w:noProof/>
          <w:color w:val="000000" w:themeColor="text1"/>
          <w:lang w:val="es-ES"/>
        </w:rPr>
        <w:t>(Vasquez y Correa, 1991)</w:t>
      </w:r>
      <w:r w:rsidRPr="004A0D77">
        <w:rPr>
          <w:color w:val="000000" w:themeColor="text1"/>
          <w:lang w:val="es-ES"/>
        </w:rPr>
        <w:fldChar w:fldCharType="end"/>
      </w:r>
    </w:p>
    <w:p w14:paraId="761CBCA2" w14:textId="77777777" w:rsidR="001803FB" w:rsidRPr="004A0D77" w:rsidRDefault="001803FB" w:rsidP="001803FB">
      <w:pPr>
        <w:spacing w:line="360" w:lineRule="auto"/>
        <w:jc w:val="both"/>
        <w:rPr>
          <w:color w:val="000000" w:themeColor="text1"/>
          <w:lang w:val="es-ES"/>
        </w:rPr>
      </w:pPr>
    </w:p>
    <w:p w14:paraId="477D8365" w14:textId="4C8859AC" w:rsidR="001803FB" w:rsidRPr="004A0D77" w:rsidRDefault="001803FB" w:rsidP="001803FB">
      <w:pPr>
        <w:spacing w:line="360" w:lineRule="auto"/>
        <w:jc w:val="both"/>
        <w:rPr>
          <w:color w:val="000000" w:themeColor="text1"/>
          <w:lang w:val="es-ES"/>
        </w:rPr>
      </w:pPr>
      <w:r w:rsidRPr="004A0D77">
        <w:rPr>
          <w:color w:val="000000" w:themeColor="text1"/>
          <w:lang w:val="es-ES"/>
        </w:rPr>
        <w:t>Otra característica interesante de la población wayuu es precisamente su capacidad de</w:t>
      </w:r>
      <w:r w:rsidR="00DA1AF5" w:rsidRPr="004A0D77">
        <w:rPr>
          <w:color w:val="000000" w:themeColor="text1"/>
          <w:lang w:val="es-ES"/>
        </w:rPr>
        <w:t xml:space="preserve"> resistencia y no sometimiento. </w:t>
      </w:r>
      <w:r w:rsidR="00D07943" w:rsidRPr="004A0D77">
        <w:rPr>
          <w:color w:val="000000" w:themeColor="text1"/>
          <w:lang w:val="es-ES"/>
        </w:rPr>
        <w:t>E</w:t>
      </w:r>
      <w:r w:rsidRPr="004A0D77">
        <w:rPr>
          <w:color w:val="000000" w:themeColor="text1"/>
          <w:lang w:val="es-ES"/>
        </w:rPr>
        <w:t xml:space="preserve">sta península fue escenario principal del transito de </w:t>
      </w:r>
      <w:r w:rsidRPr="004A0D77">
        <w:rPr>
          <w:i/>
          <w:color w:val="000000" w:themeColor="text1"/>
          <w:lang w:val="es-ES"/>
        </w:rPr>
        <w:t xml:space="preserve">“los viajes de descubrimiento y rescate, a los de conquista y colonización colonia fue  juntos con los chimilas en Santa Marta que no permitieron su colonización”.  </w:t>
      </w:r>
      <w:r w:rsidRPr="004A0D77">
        <w:rPr>
          <w:color w:val="000000" w:themeColor="text1"/>
          <w:lang w:val="es-ES"/>
        </w:rPr>
        <w:t xml:space="preserve">Fue en La Guajira donde se realizo la primera fundación en Tierra Firme –el efímero (un año) “Santa Cruz”-. </w:t>
      </w:r>
      <w:r w:rsidRPr="004A0D77">
        <w:rPr>
          <w:i/>
          <w:color w:val="000000" w:themeColor="text1"/>
          <w:lang w:val="es-ES"/>
        </w:rPr>
        <w:t>Levantado en su costa nororiental por Alonso de Ojeda en el año de 1502 y echado a perder por las disputas internas de sus moradores y los nativos (aun no referenciados</w:t>
      </w:r>
      <w:r w:rsidR="00D23A8C" w:rsidRPr="004A0D77">
        <w:rPr>
          <w:i/>
          <w:color w:val="000000" w:themeColor="text1"/>
          <w:lang w:val="es-ES"/>
        </w:rPr>
        <w:t xml:space="preserve"> documentalmente como Guajiros) </w:t>
      </w:r>
      <w:r w:rsidRPr="004A0D77">
        <w:rPr>
          <w:color w:val="000000" w:themeColor="text1"/>
          <w:lang w:val="es-ES"/>
        </w:rPr>
        <w:t>(Vásquez et al., 1991).</w:t>
      </w:r>
    </w:p>
    <w:p w14:paraId="35268CF0" w14:textId="77777777" w:rsidR="001803FB" w:rsidRPr="004A0D77" w:rsidRDefault="001803FB" w:rsidP="001803FB">
      <w:pPr>
        <w:spacing w:line="360" w:lineRule="auto"/>
        <w:jc w:val="both"/>
        <w:rPr>
          <w:color w:val="000000" w:themeColor="text1"/>
          <w:lang w:val="es-ES"/>
        </w:rPr>
      </w:pPr>
    </w:p>
    <w:p w14:paraId="22F9A576" w14:textId="77777777" w:rsidR="001803FB" w:rsidRPr="004A0D77" w:rsidRDefault="001803FB" w:rsidP="001803FB">
      <w:pPr>
        <w:spacing w:line="360" w:lineRule="auto"/>
        <w:jc w:val="both"/>
        <w:rPr>
          <w:color w:val="000000" w:themeColor="text1"/>
          <w:lang w:val="es-ES"/>
        </w:rPr>
      </w:pPr>
      <w:r w:rsidRPr="004A0D77">
        <w:rPr>
          <w:color w:val="000000" w:themeColor="text1"/>
          <w:lang w:val="es-ES"/>
        </w:rPr>
        <w:t>Wark (2005) afirma que los indígenas que viven en la península han desarrollado una forma de vida que está calculada para vivir en el árido desierto peninsular. Es una sociedad de una compleja estructura social y con un conjunto de hábitos acondicionado a unas únicas circunstancias de vida. Un aspecto característico de la cultura Wayúu, es el constituido por productos textiles, extremadamente atractivos al gusto del Alijuna  y técnicamente complejos.</w:t>
      </w:r>
    </w:p>
    <w:p w14:paraId="5E4D6446" w14:textId="4B18FF62" w:rsidR="001803FB" w:rsidRPr="004A0D77" w:rsidRDefault="000840E7" w:rsidP="001803FB">
      <w:pPr>
        <w:pStyle w:val="Ttulo3"/>
        <w:numPr>
          <w:ilvl w:val="0"/>
          <w:numId w:val="0"/>
        </w:numPr>
        <w:ind w:left="720" w:hanging="720"/>
        <w:rPr>
          <w:rFonts w:ascii="Times New Roman" w:hAnsi="Times New Roman" w:cs="Times New Roman"/>
          <w:color w:val="000000" w:themeColor="text1"/>
          <w:sz w:val="24"/>
          <w:szCs w:val="24"/>
        </w:rPr>
      </w:pPr>
      <w:bookmarkStart w:id="11" w:name="_Toc467616445"/>
      <w:r>
        <w:rPr>
          <w:rFonts w:ascii="Times New Roman" w:hAnsi="Times New Roman" w:cs="Times New Roman"/>
          <w:color w:val="000000" w:themeColor="text1"/>
          <w:sz w:val="24"/>
          <w:szCs w:val="24"/>
        </w:rPr>
        <w:t>2.5</w:t>
      </w:r>
      <w:r>
        <w:rPr>
          <w:rFonts w:ascii="Times New Roman" w:hAnsi="Times New Roman" w:cs="Times New Roman"/>
          <w:color w:val="000000" w:themeColor="text1"/>
          <w:sz w:val="24"/>
          <w:szCs w:val="24"/>
        </w:rPr>
        <w:tab/>
      </w:r>
      <w:r w:rsidR="001803FB" w:rsidRPr="004A0D77">
        <w:rPr>
          <w:rFonts w:ascii="Times New Roman" w:hAnsi="Times New Roman" w:cs="Times New Roman"/>
          <w:color w:val="000000" w:themeColor="text1"/>
          <w:sz w:val="24"/>
          <w:szCs w:val="24"/>
        </w:rPr>
        <w:t>Cosmogonía del pueblo wayuu</w:t>
      </w:r>
      <w:bookmarkEnd w:id="11"/>
    </w:p>
    <w:p w14:paraId="5A0CCB69" w14:textId="77777777" w:rsidR="001803FB" w:rsidRPr="004A0D77" w:rsidRDefault="001803FB" w:rsidP="001803FB">
      <w:pPr>
        <w:pStyle w:val="NormalWeb"/>
        <w:spacing w:line="360" w:lineRule="auto"/>
        <w:jc w:val="both"/>
        <w:rPr>
          <w:color w:val="000000" w:themeColor="text1"/>
          <w:lang w:val="es-ES" w:eastAsia="en-US"/>
        </w:rPr>
      </w:pPr>
      <w:r w:rsidRPr="004A0D77">
        <w:rPr>
          <w:color w:val="000000" w:themeColor="text1"/>
          <w:lang w:val="es-ES" w:eastAsia="en-US"/>
        </w:rPr>
        <w:t xml:space="preserve">La población wayúu sus usos, costumbres, creencias, mitos, realidades y características correspondientes a la estructura familiar son únicas en el mundo, este diferencial, sumado a su capacidad de resistencia para no dejarse someter, pese a los métodos utilizados para su “reducción y civilización”, constituyen, desde el punto de vista sociocultural y político, la preservación de una población étnica objeto de recientes intereses para la investigación académica </w:t>
      </w:r>
      <w:r w:rsidRPr="004A0D77">
        <w:rPr>
          <w:color w:val="000000" w:themeColor="text1"/>
          <w:lang w:val="es-ES" w:eastAsia="en-US"/>
        </w:rPr>
        <w:fldChar w:fldCharType="begin" w:fldLock="1"/>
      </w:r>
      <w:r w:rsidRPr="004A0D77">
        <w:rPr>
          <w:color w:val="000000" w:themeColor="text1"/>
          <w:lang w:val="es-ES" w:eastAsia="en-US"/>
        </w:rPr>
        <w:instrText>ADDIN CSL_CITATION { "citationItems" : [ { "id" : "ITEM-1", "itemData" : { "abstract" : "Las relaciones establecidas entre los Wayuu y los habitantes de Sinamaica, requirieron regu- larse por medio de ciertas medidas de control por parte del Estado venezolano a objeto de equilibrar los v\u00ednculos de poder entre las ?parcialidades? ind\u00edgenas y el Gobierno de la Provincia. Estas medidas dirigidas a la ?Reducci\u00f3n y Civilizaci\u00f3n? de la sociedad, originaron respuestas violentas de la socie- dad Wayuu, quienes mediante las ?incursiones? y ?tropel\u00edas? defendieron su territorio y recursos na- turales. Esto revel\u00f3 la lucha por conservar su autonom\u00eda, organizaci\u00f3n social y leyes ancestrales. Palabras", "author" : [ { "dropping-particle" : "", "family" : "Paz Reverol", "given" : "Carmen Laura", "non-dropping-particle" : "", "parse-names" : false, "suffix" : "" } ], "container-title" : "Revista de Ciencias Sociales (RCS)", "id" : "ITEM-1", "issued" : { "date-parts" : [ [ "2000" ] ] }, "page" : "399 - 415", "title" : "Revista de Ciencias Sociales ( Ve ) ISSN : 1315-9518 Universidad del Zulia Venezuela Paz Reverol , Carmen Laura Universidad del Zulia Maracaibo , Venezuela C\u00f3mo citar el art\u00edculo N\u00famero completo M\u00e1s informaci\u00f3n del art\u00edculo P\u00e1gina de la revista en redalyc", "type" : "article-journal", "volume" : "4" }, "uris" : [ "http://www.mendeley.com/documents/?uuid=e37d0388-38e9-48ee-a407-ccd2251dcc29" ] } ], "mendeley" : { "formattedCitation" : "(Paz Reverol, 2000)", "manualFormatting" : "(Paz, 2000)", "plainTextFormattedCitation" : "(Paz Reverol, 2000)", "previouslyFormattedCitation" : "(Paz Reverol, 2000)" }, "properties" : { "noteIndex" : 0 }, "schema" : "https://github.com/citation-style-language/schema/raw/master/csl-citation.json" }</w:instrText>
      </w:r>
      <w:r w:rsidRPr="004A0D77">
        <w:rPr>
          <w:color w:val="000000" w:themeColor="text1"/>
          <w:lang w:val="es-ES" w:eastAsia="en-US"/>
        </w:rPr>
        <w:fldChar w:fldCharType="separate"/>
      </w:r>
      <w:r w:rsidRPr="004A0D77">
        <w:rPr>
          <w:noProof/>
          <w:color w:val="000000" w:themeColor="text1"/>
          <w:lang w:val="es-ES" w:eastAsia="en-US"/>
        </w:rPr>
        <w:t>(Paz, 2000)</w:t>
      </w:r>
      <w:r w:rsidRPr="004A0D77">
        <w:rPr>
          <w:color w:val="000000" w:themeColor="text1"/>
          <w:lang w:val="es-ES" w:eastAsia="en-US"/>
        </w:rPr>
        <w:fldChar w:fldCharType="end"/>
      </w:r>
      <w:r w:rsidRPr="004A0D77">
        <w:rPr>
          <w:color w:val="000000" w:themeColor="text1"/>
          <w:lang w:val="es-ES" w:eastAsia="en-US"/>
        </w:rPr>
        <w:t>.</w:t>
      </w:r>
    </w:p>
    <w:p w14:paraId="37E47042" w14:textId="77777777" w:rsidR="001803FB" w:rsidRPr="004A0D77" w:rsidRDefault="001803FB" w:rsidP="001803FB">
      <w:pPr>
        <w:spacing w:line="360" w:lineRule="auto"/>
        <w:jc w:val="both"/>
        <w:rPr>
          <w:color w:val="000000" w:themeColor="text1"/>
          <w:lang w:val="es-ES"/>
        </w:rPr>
      </w:pPr>
      <w:r w:rsidRPr="004A0D77">
        <w:rPr>
          <w:color w:val="000000" w:themeColor="text1"/>
          <w:lang w:val="es-ES"/>
        </w:rPr>
        <w:lastRenderedPageBreak/>
        <w:fldChar w:fldCharType="begin" w:fldLock="1"/>
      </w:r>
      <w:r w:rsidRPr="004A0D77">
        <w:rPr>
          <w:color w:val="000000" w:themeColor="text1"/>
          <w:lang w:val="es-ES"/>
        </w:rPr>
        <w:instrText>ADDIN CSL_CITATION { "citationItems" : [ { "id" : "ITEM-1", "itemData" : { "author" : [ { "dropping-particle" : "", "family" : "Far\u00eda", "given" : "Jacqueline V\u00edlchez", "non-dropping-particle" : "", "parse-names" : false, "suffix" : "" } ], "id" : "ITEM-1", "issued" : { "date-parts" : [ [ "2003" ] ] }, "page" : "9-25", "title" : "Taliraai : M\u00fasica , g\u00e9nero y parentesco en la cultura way\u00fau", "type" : "article-journal", "volume" : "19" }, "uris" : [ "http://www.mendeley.com/documents/?uuid=544acb28-8c2e-49db-bede-10be8ead5efe" ] } ], "mendeley" : { "formattedCitation" : "(Far\u00eda, 2003)", "manualFormatting" : "Far\u00eda (2003)", "plainTextFormattedCitation" : "(Far\u00eda, 2003)", "previouslyFormattedCitation" : "(Far\u00eda, 2003)" }, "properties" : { "noteIndex" : 0 }, "schema" : "https://github.com/citation-style-language/schema/raw/master/csl-citation.json" }</w:instrText>
      </w:r>
      <w:r w:rsidRPr="004A0D77">
        <w:rPr>
          <w:color w:val="000000" w:themeColor="text1"/>
          <w:lang w:val="es-ES"/>
        </w:rPr>
        <w:fldChar w:fldCharType="separate"/>
      </w:r>
      <w:r w:rsidRPr="004A0D77">
        <w:rPr>
          <w:noProof/>
          <w:color w:val="000000" w:themeColor="text1"/>
          <w:lang w:val="es-ES"/>
        </w:rPr>
        <w:t>Faría (2003)</w:t>
      </w:r>
      <w:r w:rsidRPr="004A0D77">
        <w:rPr>
          <w:color w:val="000000" w:themeColor="text1"/>
          <w:lang w:val="es-ES"/>
        </w:rPr>
        <w:fldChar w:fldCharType="end"/>
      </w:r>
      <w:r w:rsidRPr="004A0D77">
        <w:rPr>
          <w:color w:val="000000" w:themeColor="text1"/>
          <w:lang w:val="es-ES"/>
        </w:rPr>
        <w:t xml:space="preserve"> considera que la población wayúu se encuentra diseminada por toda  la península de La Guajira en comunidades mayoritariamente integradas por parientes uterinos o miembros de los linajes wayúu. El principio estructurador de las relaciones sociales, políticas y de parentesco de los linajes wayúu esta conformado por la continuidad del principio hembra y la formación de una línea parental uterina o apüshi. </w:t>
      </w:r>
    </w:p>
    <w:p w14:paraId="51B36A25" w14:textId="77777777" w:rsidR="001803FB" w:rsidRPr="004A0D77" w:rsidRDefault="001803FB" w:rsidP="001803FB">
      <w:pPr>
        <w:spacing w:line="360" w:lineRule="auto"/>
        <w:jc w:val="both"/>
        <w:rPr>
          <w:color w:val="000000" w:themeColor="text1"/>
          <w:lang w:val="es-ES"/>
        </w:rPr>
      </w:pPr>
    </w:p>
    <w:p w14:paraId="6AFBE2EF" w14:textId="77777777" w:rsidR="001803FB" w:rsidRPr="004A0D77" w:rsidRDefault="001803FB" w:rsidP="001803FB">
      <w:pPr>
        <w:spacing w:line="360" w:lineRule="auto"/>
        <w:jc w:val="both"/>
        <w:rPr>
          <w:color w:val="000000" w:themeColor="text1"/>
          <w:lang w:val="es-ES"/>
        </w:rPr>
      </w:pPr>
      <w:r w:rsidRPr="004A0D77">
        <w:rPr>
          <w:color w:val="000000" w:themeColor="text1"/>
          <w:lang w:val="es-ES"/>
        </w:rPr>
        <w:t xml:space="preserve">La estructura familiar wayuu esta formada por grupos familiares también llamados clanes, los que se destaca el matrilineaje, como sistema de parentesco, en el que es la madre la que transmite a sus hijos el legado, garantizando de esta manera la continuidad de los linajes </w:t>
      </w:r>
      <w:r w:rsidRPr="004A0D77">
        <w:rPr>
          <w:color w:val="000000" w:themeColor="text1"/>
          <w:lang w:val="es-ES"/>
        </w:rPr>
        <w:fldChar w:fldCharType="begin" w:fldLock="1"/>
      </w:r>
      <w:r w:rsidRPr="004A0D77">
        <w:rPr>
          <w:color w:val="000000" w:themeColor="text1"/>
          <w:lang w:val="es-ES"/>
        </w:rPr>
        <w:instrText>ADDIN CSL_CITATION { "citationItems" : [ { "id" : "ITEM-1", "itemData" : { "abstract" : "Con esta investigaci\ufffdn se pretende demostrar los principales aspectos del h\ufffdbitat\\nind\ufffdgena de los Wayuu en la Guajira colombiana, con el fin de exponer la rancher\ufffda como\\nun ejemplo de adaptaci\ufffdn a un medio ambiente tosco y de dif\ufffdciles condiciones, que sin\\nembargo, conserva aspectos simb\ufffdlicos y sociales, los cuales se plasman en la\\ncotidianidad de su diario vivir y en su cultura dentro del territorio, a pesar de las\\namenazas constantes que se presentan ya sea por la violencia contra su integridad o el\\nriesgo mismo de perder su cultura. La rancher\ufffda como elemento de manifestaci\ufffdn del\\nh\ufffdbitat Way\ufffdu no ha perdido su esencia y conserva, al menos en el territorio colombiano,\\ngran parte de sus aspectos tipol\ufffdgicos que se ven adaptados a necesidades de orden\\ncontextual", "author" : [ { "dropping-particle" : "", "family" : "Mar\u00edn", "given" : "Erik", "non-dropping-particle" : "", "parse-names" : false, "suffix" : "" } ], "id" : "ITEM-1", "issued" : { "date-parts" : [ [ "2014" ] ] }, "page" : "188", "title" : "Cosmogon\u00eda y Rito en la Vivienda Way\u00fau", "type" : "article-journal" }, "uris" : [ "http://www.mendeley.com/documents/?uuid=4cbac14b-5082-42fd-b9f7-a305eedc5287" ] } ], "mendeley" : { "formattedCitation" : "(Mar\u00edn, 2014)", "plainTextFormattedCitation" : "(Mar\u00edn, 2014)", "previouslyFormattedCitation" : "(Mar\u00edn, 2014)" }, "properties" : { "noteIndex" : 0 }, "schema" : "https://github.com/citation-style-language/schema/raw/master/csl-citation.json" }</w:instrText>
      </w:r>
      <w:r w:rsidRPr="004A0D77">
        <w:rPr>
          <w:color w:val="000000" w:themeColor="text1"/>
          <w:lang w:val="es-ES"/>
        </w:rPr>
        <w:fldChar w:fldCharType="separate"/>
      </w:r>
      <w:r w:rsidRPr="004A0D77">
        <w:rPr>
          <w:noProof/>
          <w:color w:val="000000" w:themeColor="text1"/>
          <w:lang w:val="es-ES"/>
        </w:rPr>
        <w:t>(Marín, 2014)</w:t>
      </w:r>
      <w:r w:rsidRPr="004A0D77">
        <w:rPr>
          <w:color w:val="000000" w:themeColor="text1"/>
          <w:lang w:val="es-ES"/>
        </w:rPr>
        <w:fldChar w:fldCharType="end"/>
      </w:r>
      <w:r w:rsidRPr="004A0D77">
        <w:rPr>
          <w:color w:val="000000" w:themeColor="text1"/>
          <w:lang w:val="es-ES"/>
        </w:rPr>
        <w:t xml:space="preserve">. </w:t>
      </w:r>
    </w:p>
    <w:p w14:paraId="5C3DCE54" w14:textId="77777777" w:rsidR="001803FB" w:rsidRPr="004A0D77" w:rsidRDefault="001803FB" w:rsidP="001803FB">
      <w:pPr>
        <w:spacing w:line="360" w:lineRule="auto"/>
        <w:jc w:val="both"/>
        <w:rPr>
          <w:color w:val="000000" w:themeColor="text1"/>
          <w:lang w:val="es-ES"/>
        </w:rPr>
      </w:pPr>
    </w:p>
    <w:p w14:paraId="4A214EBF" w14:textId="06CDD4E4" w:rsidR="001803FB" w:rsidRPr="004A0D77" w:rsidRDefault="001803FB" w:rsidP="001803FB">
      <w:pPr>
        <w:spacing w:line="360" w:lineRule="auto"/>
        <w:jc w:val="both"/>
        <w:rPr>
          <w:color w:val="000000" w:themeColor="text1"/>
          <w:lang w:val="es-ES"/>
        </w:rPr>
      </w:pPr>
      <w:r w:rsidRPr="004A0D77">
        <w:rPr>
          <w:color w:val="000000" w:themeColor="text1"/>
          <w:lang w:val="es-ES"/>
        </w:rPr>
        <w:t>“</w:t>
      </w:r>
      <w:r w:rsidRPr="004A0D77">
        <w:rPr>
          <w:i/>
          <w:color w:val="000000" w:themeColor="text1"/>
          <w:lang w:val="es-ES"/>
        </w:rPr>
        <w:t>La familia wayúu tradicional, tiene como eje central la línea de ascendencia representada en primer lugar por la madre y el hermano de ésta (el tío materno). El padre puede o no estar presente tomando parte de las actividades y la vida en familia, pero las decisiones más importantes que involucran deberes, obligaciones y derechos en relación al linaje materno, son asumidas por la figura materna y sus hermanos Dentro de la familia nuclear, los hijos son dirigidos prácticamente por el hermano de la madre y n</w:t>
      </w:r>
      <w:r w:rsidR="00D23A8C" w:rsidRPr="004A0D77">
        <w:rPr>
          <w:i/>
          <w:color w:val="000000" w:themeColor="text1"/>
          <w:lang w:val="es-ES"/>
        </w:rPr>
        <w:t>o por el propio padre biológico</w:t>
      </w:r>
      <w:r w:rsidRPr="004A0D77">
        <w:rPr>
          <w:i/>
          <w:color w:val="000000" w:themeColor="text1"/>
          <w:lang w:val="es-ES"/>
        </w:rPr>
        <w:t xml:space="preserve"> </w:t>
      </w:r>
      <w:r w:rsidRPr="004A0D77">
        <w:rPr>
          <w:color w:val="000000" w:themeColor="text1"/>
          <w:lang w:val="es-ES"/>
        </w:rPr>
        <w:fldChar w:fldCharType="begin" w:fldLock="1"/>
      </w:r>
      <w:r w:rsidRPr="004A0D77">
        <w:rPr>
          <w:color w:val="000000" w:themeColor="text1"/>
          <w:lang w:val="es-ES"/>
        </w:rPr>
        <w:instrText>ADDIN CSL_CITATION { "citationItems" : [ { "id" : "ITEM-1", "itemData" : { "author" : [ { "dropping-particle" : "", "family" : "Far\u00eda", "given" : "Jacqueline V\u00edlchez", "non-dropping-particle" : "", "parse-names" : false, "suffix" : "" } ], "id" : "ITEM-1", "issued" : { "date-parts" : [ [ "2003" ] ] }, "page" : "9-25", "title" : "Taliraai : M\u00fasica , g\u00e9nero y parentesco en la cultura way\u00fau", "type" : "article-journal", "volume" : "19" }, "uris" : [ "http://www.mendeley.com/documents/?uuid=544acb28-8c2e-49db-bede-10be8ead5efe" ] } ], "mendeley" : { "formattedCitation" : "(Far\u00eda, 2003)", "manualFormatting" : "(Far\u00eda et al., 2003.p.12)", "plainTextFormattedCitation" : "(Far\u00eda, 2003)", "previouslyFormattedCitation" : "(Far\u00eda, 2003)" }, "properties" : { "noteIndex" : 0 }, "schema" : "https://github.com/citation-style-language/schema/raw/master/csl-citation.json" }</w:instrText>
      </w:r>
      <w:r w:rsidRPr="004A0D77">
        <w:rPr>
          <w:color w:val="000000" w:themeColor="text1"/>
          <w:lang w:val="es-ES"/>
        </w:rPr>
        <w:fldChar w:fldCharType="separate"/>
      </w:r>
      <w:r w:rsidRPr="004A0D77">
        <w:rPr>
          <w:noProof/>
          <w:color w:val="000000" w:themeColor="text1"/>
          <w:lang w:val="es-ES"/>
        </w:rPr>
        <w:t>(Faría et al., 2003.p.12)</w:t>
      </w:r>
      <w:r w:rsidRPr="004A0D77">
        <w:rPr>
          <w:color w:val="000000" w:themeColor="text1"/>
          <w:lang w:val="es-ES"/>
        </w:rPr>
        <w:fldChar w:fldCharType="end"/>
      </w:r>
      <w:r w:rsidR="00D23A8C" w:rsidRPr="004A0D77">
        <w:rPr>
          <w:color w:val="000000" w:themeColor="text1"/>
          <w:lang w:val="es-ES"/>
        </w:rPr>
        <w:t xml:space="preserve"> </w:t>
      </w:r>
    </w:p>
    <w:p w14:paraId="7AD6D43E" w14:textId="77777777" w:rsidR="001803FB" w:rsidRPr="004A0D77" w:rsidRDefault="001803FB" w:rsidP="001803FB">
      <w:pPr>
        <w:spacing w:after="100" w:afterAutospacing="1" w:line="360" w:lineRule="auto"/>
        <w:contextualSpacing/>
        <w:jc w:val="both"/>
        <w:rPr>
          <w:color w:val="000000" w:themeColor="text1"/>
          <w:lang w:val="es-ES"/>
        </w:rPr>
      </w:pPr>
    </w:p>
    <w:p w14:paraId="1E994D14" w14:textId="6D8C69FA" w:rsidR="001803FB" w:rsidRPr="004A0D77" w:rsidRDefault="001803FB" w:rsidP="001803FB">
      <w:pPr>
        <w:spacing w:after="100" w:afterAutospacing="1" w:line="360" w:lineRule="auto"/>
        <w:contextualSpacing/>
        <w:jc w:val="both"/>
        <w:rPr>
          <w:color w:val="000000" w:themeColor="text1"/>
          <w:lang w:val="es-ES"/>
        </w:rPr>
      </w:pPr>
      <w:r w:rsidRPr="004A0D77">
        <w:rPr>
          <w:color w:val="000000" w:themeColor="text1"/>
          <w:lang w:val="es-ES"/>
        </w:rPr>
        <w:t>Según la mitología wayuu, Maleiwa creo la naturaleza y al hombre a quien disperso por lo largo y ancho de la península Guajira en 36 clanes identificado por la línea materna</w:t>
      </w:r>
      <w:r w:rsidR="002A74C5" w:rsidRPr="004A0D77">
        <w:rPr>
          <w:color w:val="000000" w:themeColor="text1"/>
          <w:lang w:val="es-ES"/>
        </w:rPr>
        <w:t xml:space="preserve"> </w:t>
      </w:r>
      <w:r w:rsidRPr="004A0D77">
        <w:rPr>
          <w:color w:val="000000" w:themeColor="text1"/>
          <w:lang w:val="es-ES"/>
        </w:rPr>
        <w:t xml:space="preserve">, atribuyéndole una casta e identificación totémica relacionada con un animal que según la mitología, es su antepasado o ancestro totémico </w:t>
      </w:r>
      <w:r w:rsidRPr="004A0D77">
        <w:rPr>
          <w:color w:val="000000" w:themeColor="text1"/>
          <w:lang w:val="es-ES"/>
        </w:rPr>
        <w:fldChar w:fldCharType="begin" w:fldLock="1"/>
      </w:r>
      <w:r w:rsidRPr="004A0D77">
        <w:rPr>
          <w:color w:val="000000" w:themeColor="text1"/>
          <w:lang w:val="es-ES"/>
        </w:rPr>
        <w:instrText>ADDIN CSL_CITATION { "citationItems" : [ { "id" : "ITEM-1", "itemData" : { "abstract" : "Con esta investigaci\ufffdn se pretende demostrar los principales aspectos del h\ufffdbitat\\nind\ufffdgena de los Wayuu en la Guajira colombiana, con el fin de exponer la rancher\ufffda como\\nun ejemplo de adaptaci\ufffdn a un medio ambiente tosco y de dif\ufffdciles condiciones, que sin\\nembargo, conserva aspectos simb\ufffdlicos y sociales, los cuales se plasman en la\\ncotidianidad de su diario vivir y en su cultura dentro del territorio, a pesar de las\\namenazas constantes que se presentan ya sea por la violencia contra su integridad o el\\nriesgo mismo de perder su cultura. La rancher\ufffda como elemento de manifestaci\ufffdn del\\nh\ufffdbitat Way\ufffdu no ha perdido su esencia y conserva, al menos en el territorio colombiano,\\ngran parte de sus aspectos tipol\ufffdgicos que se ven adaptados a necesidades de orden\\ncontextual", "author" : [ { "dropping-particle" : "", "family" : "Mar\u00edn", "given" : "Erik", "non-dropping-particle" : "", "parse-names" : false, "suffix" : "" } ], "id" : "ITEM-1", "issued" : { "date-parts" : [ [ "2014" ] ] }, "page" : "188", "title" : "Cosmogon\u00eda y Rito en la Vivienda Way\u00fau", "type" : "article-journal" }, "uris" : [ "http://www.mendeley.com/documents/?uuid=4cbac14b-5082-42fd-b9f7-a305eedc5287" ] } ], "mendeley" : { "formattedCitation" : "(Mar\u00edn, 2014)", "manualFormatting" : "(Mar\u00edn et al., 2014)", "plainTextFormattedCitation" : "(Mar\u00edn, 2014)", "previouslyFormattedCitation" : "(Mar\u00edn, 2014)" }, "properties" : { "noteIndex" : 0 }, "schema" : "https://github.com/citation-style-language/schema/raw/master/csl-citation.json" }</w:instrText>
      </w:r>
      <w:r w:rsidRPr="004A0D77">
        <w:rPr>
          <w:color w:val="000000" w:themeColor="text1"/>
          <w:lang w:val="es-ES"/>
        </w:rPr>
        <w:fldChar w:fldCharType="separate"/>
      </w:r>
      <w:r w:rsidRPr="004A0D77">
        <w:rPr>
          <w:noProof/>
          <w:color w:val="000000" w:themeColor="text1"/>
          <w:lang w:val="es-ES"/>
        </w:rPr>
        <w:t>(Marín et al., 2014)</w:t>
      </w:r>
      <w:r w:rsidRPr="004A0D77">
        <w:rPr>
          <w:color w:val="000000" w:themeColor="text1"/>
          <w:lang w:val="es-ES"/>
        </w:rPr>
        <w:fldChar w:fldCharType="end"/>
      </w:r>
      <w:r w:rsidRPr="004A0D77">
        <w:rPr>
          <w:color w:val="000000" w:themeColor="text1"/>
          <w:lang w:val="es-ES"/>
        </w:rPr>
        <w:t>.</w:t>
      </w:r>
    </w:p>
    <w:p w14:paraId="7A2ECA29" w14:textId="77777777" w:rsidR="001803FB" w:rsidRPr="004A0D77" w:rsidRDefault="001803FB" w:rsidP="001803FB">
      <w:pPr>
        <w:spacing w:after="100" w:afterAutospacing="1" w:line="360" w:lineRule="auto"/>
        <w:contextualSpacing/>
        <w:jc w:val="both"/>
        <w:rPr>
          <w:color w:val="000000" w:themeColor="text1"/>
          <w:lang w:val="es-ES"/>
        </w:rPr>
      </w:pPr>
    </w:p>
    <w:p w14:paraId="700E7530" w14:textId="77777777" w:rsidR="001803FB" w:rsidRPr="004A0D77" w:rsidRDefault="001803FB" w:rsidP="001803FB">
      <w:pPr>
        <w:spacing w:after="100" w:afterAutospacing="1" w:line="360" w:lineRule="auto"/>
        <w:contextualSpacing/>
        <w:jc w:val="both"/>
        <w:rPr>
          <w:color w:val="000000" w:themeColor="text1"/>
          <w:lang w:val="es-ES"/>
        </w:rPr>
      </w:pPr>
      <w:r w:rsidRPr="004A0D77">
        <w:rPr>
          <w:color w:val="000000" w:themeColor="text1"/>
          <w:lang w:val="es-ES"/>
        </w:rPr>
        <w:t xml:space="preserve">De acuerdo a  </w:t>
      </w:r>
      <w:r w:rsidRPr="004A0D77">
        <w:rPr>
          <w:color w:val="000000" w:themeColor="text1"/>
          <w:lang w:val="es-ES"/>
        </w:rPr>
        <w:fldChar w:fldCharType="begin" w:fldLock="1"/>
      </w:r>
      <w:r w:rsidRPr="004A0D77">
        <w:rPr>
          <w:color w:val="000000" w:themeColor="text1"/>
          <w:lang w:val="es-ES"/>
        </w:rPr>
        <w:instrText>ADDIN CSL_CITATION { "citationItems" : [ { "id" : "ITEM-1", "itemData" : { "abstract" : "Con esta investigaci\ufffdn se pretende demostrar los principales aspectos del h\ufffdbitat\\nind\ufffdgena de los Wayuu en la Guajira colombiana, con el fin de exponer la rancher\ufffda como\\nun ejemplo de adaptaci\ufffdn a un medio ambiente tosco y de dif\ufffdciles condiciones, que sin\\nembargo, conserva aspectos simb\ufffdlicos y sociales, los cuales se plasman en la\\ncotidianidad de su diario vivir y en su cultura dentro del territorio, a pesar de las\\namenazas constantes que se presentan ya sea por la violencia contra su integridad o el\\nriesgo mismo de perder su cultura. La rancher\ufffda como elemento de manifestaci\ufffdn del\\nh\ufffdbitat Way\ufffdu no ha perdido su esencia y conserva, al menos en el territorio colombiano,\\ngran parte de sus aspectos tipol\ufffdgicos que se ven adaptados a necesidades de orden\\ncontextual", "author" : [ { "dropping-particle" : "", "family" : "Mar\u00edn", "given" : "Erik", "non-dropping-particle" : "", "parse-names" : false, "suffix" : "" } ], "id" : "ITEM-1", "issued" : { "date-parts" : [ [ "2014" ] ] }, "page" : "188", "title" : "Cosmogon\u00eda y Rito en la Vivienda Way\u00fau", "type" : "article-journal" }, "uris" : [ "http://www.mendeley.com/documents/?uuid=4cbac14b-5082-42fd-b9f7-a305eedc5287" ] } ], "mendeley" : { "formattedCitation" : "(Mar\u00edn, 2014)", "manualFormatting" : "Mar\u00edn (2014)", "plainTextFormattedCitation" : "(Mar\u00edn, 2014)", "previouslyFormattedCitation" : "(Mar\u00edn, 2014)" }, "properties" : { "noteIndex" : 0 }, "schema" : "https://github.com/citation-style-language/schema/raw/master/csl-citation.json" }</w:instrText>
      </w:r>
      <w:r w:rsidRPr="004A0D77">
        <w:rPr>
          <w:color w:val="000000" w:themeColor="text1"/>
          <w:lang w:val="es-ES"/>
        </w:rPr>
        <w:fldChar w:fldCharType="separate"/>
      </w:r>
      <w:r w:rsidRPr="004A0D77">
        <w:rPr>
          <w:noProof/>
          <w:color w:val="000000" w:themeColor="text1"/>
          <w:lang w:val="es-ES"/>
        </w:rPr>
        <w:t>Marín (2014)</w:t>
      </w:r>
      <w:r w:rsidRPr="004A0D77">
        <w:rPr>
          <w:color w:val="000000" w:themeColor="text1"/>
          <w:lang w:val="es-ES"/>
        </w:rPr>
        <w:fldChar w:fldCharType="end"/>
      </w:r>
      <w:r w:rsidRPr="004A0D77">
        <w:rPr>
          <w:color w:val="000000" w:themeColor="text1"/>
          <w:lang w:val="es-ES"/>
        </w:rPr>
        <w:t xml:space="preserve"> como se cito en (Forero, 1995, págs. 17-18) La tradición oral Wayuu, relata que el origen de su gente nació del producto del contacto de dos elementos de la naturaleza. El viento del norte y la primavera, serían entonces los padres de los primeros hombres que poblaron esas tierras.</w:t>
      </w:r>
    </w:p>
    <w:p w14:paraId="75B29AA9" w14:textId="77777777" w:rsidR="001803FB" w:rsidRPr="004A0D77" w:rsidRDefault="001803FB" w:rsidP="001803FB">
      <w:pPr>
        <w:spacing w:after="100" w:afterAutospacing="1" w:line="360" w:lineRule="auto"/>
        <w:contextualSpacing/>
        <w:jc w:val="both"/>
        <w:rPr>
          <w:color w:val="000000" w:themeColor="text1"/>
          <w:sz w:val="22"/>
          <w:lang w:val="es-ES"/>
        </w:rPr>
      </w:pPr>
    </w:p>
    <w:p w14:paraId="5FE438B5" w14:textId="77777777" w:rsidR="001803FB" w:rsidRPr="004A0D77" w:rsidRDefault="001803FB" w:rsidP="001803FB">
      <w:pPr>
        <w:spacing w:after="100" w:afterAutospacing="1" w:line="360" w:lineRule="auto"/>
        <w:contextualSpacing/>
        <w:jc w:val="both"/>
        <w:rPr>
          <w:color w:val="000000" w:themeColor="text1"/>
          <w:lang w:val="es-ES"/>
        </w:rPr>
      </w:pPr>
      <w:r w:rsidRPr="004A0D77">
        <w:rPr>
          <w:color w:val="000000" w:themeColor="text1"/>
          <w:lang w:val="es-ES"/>
        </w:rPr>
        <w:t xml:space="preserve">Tal como lo establece </w:t>
      </w:r>
      <w:r w:rsidRPr="004A0D77">
        <w:rPr>
          <w:color w:val="000000" w:themeColor="text1"/>
          <w:lang w:val="es-ES"/>
        </w:rPr>
        <w:fldChar w:fldCharType="begin" w:fldLock="1"/>
      </w:r>
      <w:r w:rsidRPr="004A0D77">
        <w:rPr>
          <w:color w:val="000000" w:themeColor="text1"/>
          <w:lang w:val="es-ES"/>
        </w:rPr>
        <w:instrText>ADDIN CSL_CITATION { "citationItems" : [ { "id" : "ITEM-1", "itemData" : { "author" : [ { "dropping-particle" : "", "family" : "Molina", "given" : "Fraansisco", "non-dropping-particle" : "", "parse-names" : false, "suffix" : "" } ], "container-title" : "N\u00f3madas. Revista Cr\u00edtica de Ciencias Sociales y Jur\u00eddicas", "id" : "ITEM-1", "issued" : { "date-parts" : [ [ "2013" ] ] }, "title" : "Venganza y Encierro Como Funciones Restauradoras del Orden Social: Un Enfoque Simb\u00f3lico-Ritual del Crimen en la Cultura Way\u00fau", "type" : "article-journal" }, "uris" : [ "http://www.mendeley.com/documents/?uuid=5096130b-2634-416c-8fc3-05056db2fec7" ] } ], "mendeley" : { "formattedCitation" : "(Molina, 2013)", "manualFormatting" : "R\u00edos (2013)", "plainTextFormattedCitation" : "(Molina, 2013)", "previouslyFormattedCitation" : "(Molina, 2013)" }, "properties" : { "noteIndex" : 0 }, "schema" : "https://github.com/citation-style-language/schema/raw/master/csl-citation.json" }</w:instrText>
      </w:r>
      <w:r w:rsidRPr="004A0D77">
        <w:rPr>
          <w:color w:val="000000" w:themeColor="text1"/>
          <w:lang w:val="es-ES"/>
        </w:rPr>
        <w:fldChar w:fldCharType="separate"/>
      </w:r>
      <w:r w:rsidRPr="004A0D77">
        <w:rPr>
          <w:noProof/>
          <w:color w:val="000000" w:themeColor="text1"/>
          <w:lang w:val="es-ES"/>
        </w:rPr>
        <w:t>Ríos (2013)</w:t>
      </w:r>
      <w:r w:rsidRPr="004A0D77">
        <w:rPr>
          <w:color w:val="000000" w:themeColor="text1"/>
          <w:lang w:val="es-ES"/>
        </w:rPr>
        <w:fldChar w:fldCharType="end"/>
      </w:r>
      <w:r w:rsidRPr="004A0D77">
        <w:rPr>
          <w:color w:val="000000" w:themeColor="text1"/>
          <w:lang w:val="es-ES"/>
        </w:rPr>
        <w:t xml:space="preserve"> “En el universo mitológico wayuu, se consiguen muchas explicaciones del origen de los fenómenos naturales y sociales inmersos en su identidad </w:t>
      </w:r>
      <w:r w:rsidRPr="004A0D77">
        <w:rPr>
          <w:color w:val="000000" w:themeColor="text1"/>
          <w:lang w:val="es-ES"/>
        </w:rPr>
        <w:lastRenderedPageBreak/>
        <w:t>cultural y conocidos gracias a sus relatos, donde se le da estructura a su organización de vida y sentido a cada una de sus acciones sociales para la resolución de conflictos”. El pueblo wayuu es muy respetuoso de las manifestaciones sagradas, esto permite establecer un fuerte vinculo emocional entre sus mitos, creencias y la cotidianidad de esta etnia  ancestral, estableciendo a su vez un respeto profundo por  las reglas propias de comportamiento  y la manera como estos las asuman en sociedad.</w:t>
      </w:r>
    </w:p>
    <w:p w14:paraId="51606692" w14:textId="77777777" w:rsidR="001803FB" w:rsidRPr="004A0D77" w:rsidRDefault="001803FB" w:rsidP="001803FB">
      <w:pPr>
        <w:spacing w:after="100" w:afterAutospacing="1" w:line="360" w:lineRule="auto"/>
        <w:contextualSpacing/>
        <w:jc w:val="both"/>
        <w:rPr>
          <w:color w:val="000000" w:themeColor="text1"/>
          <w:lang w:val="es-ES"/>
        </w:rPr>
      </w:pPr>
    </w:p>
    <w:p w14:paraId="7A4BE1AD" w14:textId="77777777" w:rsidR="001803FB" w:rsidRPr="004A0D77" w:rsidRDefault="001803FB" w:rsidP="001803FB">
      <w:pPr>
        <w:spacing w:after="100" w:afterAutospacing="1" w:line="360" w:lineRule="auto"/>
        <w:contextualSpacing/>
        <w:jc w:val="both"/>
        <w:rPr>
          <w:color w:val="000000" w:themeColor="text1"/>
          <w:lang w:val="es-ES"/>
        </w:rPr>
      </w:pPr>
      <w:r w:rsidRPr="004A0D77">
        <w:rPr>
          <w:color w:val="000000" w:themeColor="text1"/>
          <w:lang w:val="es-ES"/>
        </w:rPr>
        <w:t xml:space="preserve">Por otra parte </w:t>
      </w:r>
      <w:r w:rsidRPr="004A0D77">
        <w:rPr>
          <w:color w:val="000000" w:themeColor="text1"/>
          <w:lang w:val="es-ES"/>
        </w:rPr>
        <w:fldChar w:fldCharType="begin" w:fldLock="1"/>
      </w:r>
      <w:r w:rsidRPr="004A0D77">
        <w:rPr>
          <w:color w:val="000000" w:themeColor="text1"/>
          <w:lang w:val="es-ES"/>
        </w:rPr>
        <w:instrText>ADDIN CSL_CITATION { "citationItems" : [ { "id" : "ITEM-1", "itemData" : { "author" : [ { "dropping-particle" : "", "family" : "Molina", "given" : "Fraansisco", "non-dropping-particle" : "", "parse-names" : false, "suffix" : "" } ], "container-title" : "N\u00f3madas. Revista Cr\u00edtica de Ciencias Sociales y Jur\u00eddicas", "id" : "ITEM-1", "issued" : { "date-parts" : [ [ "2013" ] ] }, "title" : "Venganza y Encierro Como Funciones Restauradoras del Orden Social: Un Enfoque Simb\u00f3lico-Ritual del Crimen en la Cultura Way\u00fau", "type" : "article-journal" }, "uris" : [ "http://www.mendeley.com/documents/?uuid=5096130b-2634-416c-8fc3-05056db2fec7" ] } ], "mendeley" : { "formattedCitation" : "(Molina, 2013)", "plainTextFormattedCitation" : "(Molina, 2013)", "previouslyFormattedCitation" : "(Molina, 2013)" }, "properties" : { "noteIndex" : 0 }, "schema" : "https://github.com/citation-style-language/schema/raw/master/csl-citation.json" }</w:instrText>
      </w:r>
      <w:r w:rsidRPr="004A0D77">
        <w:rPr>
          <w:color w:val="000000" w:themeColor="text1"/>
          <w:lang w:val="es-ES"/>
        </w:rPr>
        <w:fldChar w:fldCharType="separate"/>
      </w:r>
      <w:r w:rsidRPr="004A0D77">
        <w:rPr>
          <w:noProof/>
          <w:color w:val="000000" w:themeColor="text1"/>
          <w:lang w:val="es-ES"/>
        </w:rPr>
        <w:t>Molina (2013)</w:t>
      </w:r>
      <w:r w:rsidRPr="004A0D77">
        <w:rPr>
          <w:color w:val="000000" w:themeColor="text1"/>
          <w:lang w:val="es-ES"/>
        </w:rPr>
        <w:fldChar w:fldCharType="end"/>
      </w:r>
      <w:r w:rsidRPr="004A0D77">
        <w:rPr>
          <w:color w:val="000000" w:themeColor="text1"/>
          <w:lang w:val="es-ES"/>
        </w:rPr>
        <w:t xml:space="preserve"> como se cito en (Pinzón Sánchez, 1990: 65- 66). “Cuando la mujer queda embarazada deja de menstruar, entonces la sangre que se queda en el cuerpo de la mujeres es lo que da origen al nuevo ser: He aquí la explicación del carácter sagrado de la sangre, la cual tiene una importancia relevante en las normas sociales de parentesco, que identifican a los clanes en particular y a toda la comunidad wayúu en general” </w:t>
      </w:r>
    </w:p>
    <w:p w14:paraId="4C1DA69A" w14:textId="77777777" w:rsidR="001803FB" w:rsidRPr="004A0D77" w:rsidRDefault="001803FB" w:rsidP="001803FB">
      <w:pPr>
        <w:spacing w:after="100" w:afterAutospacing="1" w:line="360" w:lineRule="auto"/>
        <w:contextualSpacing/>
        <w:jc w:val="both"/>
        <w:rPr>
          <w:color w:val="000000" w:themeColor="text1"/>
          <w:lang w:val="es-ES"/>
        </w:rPr>
      </w:pPr>
      <w:r w:rsidRPr="004A0D77">
        <w:rPr>
          <w:color w:val="000000" w:themeColor="text1"/>
          <w:lang w:val="es-ES"/>
        </w:rPr>
        <w:t xml:space="preserve"> </w:t>
      </w:r>
    </w:p>
    <w:p w14:paraId="4C6225EE" w14:textId="582BEFD2" w:rsidR="00572946" w:rsidRPr="000840E7" w:rsidRDefault="001803FB" w:rsidP="00D35BF3">
      <w:pPr>
        <w:spacing w:after="100" w:afterAutospacing="1" w:line="360" w:lineRule="auto"/>
        <w:contextualSpacing/>
        <w:jc w:val="both"/>
        <w:rPr>
          <w:color w:val="000000" w:themeColor="text1"/>
          <w:lang w:val="es-ES"/>
        </w:rPr>
      </w:pPr>
      <w:r w:rsidRPr="004A0D77">
        <w:rPr>
          <w:color w:val="000000" w:themeColor="text1"/>
          <w:lang w:val="es-ES"/>
        </w:rPr>
        <w:t xml:space="preserve">En este sentido se destaca la importancia del concepto y representatividad de la “venganza de la sangre” se dice que en las costumbres  y mitologías  wayúu la sangre es el origen de la vida, esta es sinónimo de vida y por  tal razón su derramamiento por manos de otro nativo o Alijuna amerita un pago por parte del infractor por la alteración causada, lo primordial en este caso es la indemnización y conservar la paz entre los clanes, la intermediación entre las familias afectadas es realizada por el palabrero o </w:t>
      </w:r>
      <w:r w:rsidRPr="004A0D77">
        <w:rPr>
          <w:color w:val="000000" w:themeColor="text1"/>
          <w:sz w:val="28"/>
          <w:lang w:val="es-ES" w:eastAsia="en-US"/>
        </w:rPr>
        <w:t>pütchipü`üi como se conoce en el lenguaje wayuunaiki, este es el encargado de escuchar las versiones de las personas afectadas y con el conocimiento y sabiduría otorgado por los años buscar el acercamiento a la paz familiar</w:t>
      </w:r>
      <w:r w:rsidRPr="004A0D77">
        <w:rPr>
          <w:color w:val="000000" w:themeColor="text1"/>
          <w:lang w:val="es-ES"/>
        </w:rPr>
        <w:t>, en el caso de lograr un acercamiento y lograr  definir el pago o multa, el acostumbrado pago de la falta cometida se realiza en dinero o especies a la familia afectada; pero en caso de no lograr acuerdos para resarcir la ofensa, la respuesta de venganza puede ser violentamente exagerada.</w:t>
      </w:r>
      <w:bookmarkStart w:id="12" w:name="_Toc467319772"/>
      <w:bookmarkStart w:id="13" w:name="_Toc467616451"/>
    </w:p>
    <w:p w14:paraId="32A02FB5" w14:textId="3278EAC9" w:rsidR="00660EA8" w:rsidRPr="000840E7" w:rsidRDefault="00D35BF3" w:rsidP="002A74C5">
      <w:pPr>
        <w:pStyle w:val="Prrafodelista"/>
        <w:numPr>
          <w:ilvl w:val="0"/>
          <w:numId w:val="41"/>
        </w:numPr>
        <w:spacing w:after="100" w:afterAutospacing="1" w:line="360" w:lineRule="auto"/>
        <w:jc w:val="both"/>
        <w:rPr>
          <w:b/>
          <w:color w:val="000000" w:themeColor="text1"/>
          <w:lang w:val="es-ES"/>
        </w:rPr>
      </w:pPr>
      <w:r w:rsidRPr="000840E7">
        <w:rPr>
          <w:b/>
          <w:color w:val="000000" w:themeColor="text1"/>
          <w:lang w:val="es-ES"/>
        </w:rPr>
        <w:t>DISCUSIÓN DE LA PROPUESTA</w:t>
      </w:r>
    </w:p>
    <w:p w14:paraId="4EB68D93" w14:textId="2DCA39C7" w:rsidR="00572946" w:rsidRPr="004A0D77" w:rsidRDefault="002A74C5" w:rsidP="002A74C5">
      <w:pPr>
        <w:spacing w:after="100" w:afterAutospacing="1" w:line="360" w:lineRule="auto"/>
        <w:contextualSpacing/>
        <w:jc w:val="both"/>
        <w:rPr>
          <w:color w:val="000000" w:themeColor="text1"/>
          <w:lang w:val="es-ES" w:eastAsia="en-US"/>
        </w:rPr>
      </w:pPr>
      <w:r w:rsidRPr="004A0D77">
        <w:rPr>
          <w:color w:val="000000" w:themeColor="text1"/>
          <w:lang w:val="es-ES" w:eastAsia="en-US"/>
        </w:rPr>
        <w:t>L</w:t>
      </w:r>
      <w:r w:rsidRPr="004A0D77">
        <w:rPr>
          <w:color w:val="000000" w:themeColor="text1"/>
          <w:lang w:val="es-ES" w:eastAsia="en-US"/>
        </w:rPr>
        <w:t>a agenda de competitividad del departamento de La Guaji</w:t>
      </w:r>
      <w:r w:rsidRPr="004A0D77">
        <w:rPr>
          <w:color w:val="000000" w:themeColor="text1"/>
          <w:lang w:val="es-ES" w:eastAsia="en-US"/>
        </w:rPr>
        <w:t>ra “En el aspecto económico, identifica</w:t>
      </w:r>
      <w:r w:rsidRPr="004A0D77">
        <w:rPr>
          <w:color w:val="000000" w:themeColor="text1"/>
          <w:lang w:val="es-ES" w:eastAsia="en-US"/>
        </w:rPr>
        <w:t xml:space="preserve"> cuatro áreas generadoras de empleo en la región. El área minera, representada por la explotación de carbón en el Cerrejón, gas</w:t>
      </w:r>
      <w:r w:rsidR="00660EA8">
        <w:rPr>
          <w:color w:val="000000" w:themeColor="text1"/>
          <w:lang w:val="es-ES" w:eastAsia="en-US"/>
        </w:rPr>
        <w:t xml:space="preserve"> natural</w:t>
      </w:r>
      <w:r w:rsidRPr="004A0D77">
        <w:rPr>
          <w:color w:val="000000" w:themeColor="text1"/>
          <w:lang w:val="es-ES" w:eastAsia="en-US"/>
        </w:rPr>
        <w:t xml:space="preserve"> en Riohacha y Manaure y sal en Manaure. </w:t>
      </w:r>
      <w:r w:rsidRPr="004A0D77">
        <w:rPr>
          <w:color w:val="000000" w:themeColor="text1"/>
          <w:lang w:val="es-ES" w:eastAsia="en-US"/>
        </w:rPr>
        <w:lastRenderedPageBreak/>
        <w:t xml:space="preserve">En cuanto al área agropecuaria esta se localiza en el </w:t>
      </w:r>
      <w:r w:rsidR="00660EA8">
        <w:rPr>
          <w:color w:val="000000" w:themeColor="text1"/>
          <w:lang w:val="es-ES" w:eastAsia="en-US"/>
        </w:rPr>
        <w:t xml:space="preserve">sector comprendido por la baja </w:t>
      </w:r>
      <w:r w:rsidRPr="004A0D77">
        <w:rPr>
          <w:color w:val="000000" w:themeColor="text1"/>
          <w:lang w:val="es-ES" w:eastAsia="en-US"/>
        </w:rPr>
        <w:t xml:space="preserve"> Guaji</w:t>
      </w:r>
      <w:r w:rsidR="00660EA8">
        <w:rPr>
          <w:color w:val="000000" w:themeColor="text1"/>
          <w:lang w:val="es-ES" w:eastAsia="en-US"/>
        </w:rPr>
        <w:t xml:space="preserve">ra donde se desarrollan junto con </w:t>
      </w:r>
      <w:r w:rsidRPr="004A0D77">
        <w:rPr>
          <w:color w:val="000000" w:themeColor="text1"/>
          <w:lang w:val="es-ES" w:eastAsia="en-US"/>
        </w:rPr>
        <w:t>la cría de ganado Vacuno. La producción Caprina cobra gran importancia en la región de la alta Guajira. a  nivel comercial la ciudad de Maicao se constituye en el Principal centro de esta actividad. Por último el área turística representa un gran potencial con una marcada tendencia hacia el ecoturismo en la franja costera y principalmente en la alta Guajira, aunque el epicentro turístico continua siendo el Municipio de Riohacha, Capital del Departamento de la Guajira”</w:t>
      </w:r>
    </w:p>
    <w:p w14:paraId="38B33A8D" w14:textId="77777777" w:rsidR="002A74C5" w:rsidRPr="004A0D77" w:rsidRDefault="002A74C5" w:rsidP="002A74C5">
      <w:pPr>
        <w:spacing w:after="100" w:afterAutospacing="1" w:line="360" w:lineRule="auto"/>
        <w:contextualSpacing/>
        <w:jc w:val="both"/>
        <w:rPr>
          <w:color w:val="000000" w:themeColor="text1"/>
          <w:lang w:val="es-ES"/>
        </w:rPr>
      </w:pPr>
    </w:p>
    <w:p w14:paraId="7161BAE1" w14:textId="4A179501" w:rsidR="00F420B7" w:rsidRPr="004A0D77" w:rsidRDefault="00D35BF3" w:rsidP="00F420B7">
      <w:pPr>
        <w:spacing w:line="360" w:lineRule="auto"/>
        <w:jc w:val="both"/>
        <w:rPr>
          <w:color w:val="000000" w:themeColor="text1"/>
          <w:lang w:val="es-ES"/>
        </w:rPr>
      </w:pPr>
      <w:r w:rsidRPr="004A0D77">
        <w:rPr>
          <w:color w:val="000000" w:themeColor="text1"/>
          <w:lang w:val="es-ES"/>
        </w:rPr>
        <w:t>El</w:t>
      </w:r>
      <w:r w:rsidR="00572946" w:rsidRPr="004A0D77">
        <w:rPr>
          <w:color w:val="000000" w:themeColor="text1"/>
          <w:lang w:val="es-ES"/>
        </w:rPr>
        <w:t xml:space="preserve"> departamento de La G</w:t>
      </w:r>
      <w:r w:rsidRPr="004A0D77">
        <w:rPr>
          <w:color w:val="000000" w:themeColor="text1"/>
          <w:lang w:val="es-ES"/>
        </w:rPr>
        <w:t xml:space="preserve">uajira es un territorio </w:t>
      </w:r>
      <w:r w:rsidR="00572946" w:rsidRPr="004A0D77">
        <w:rPr>
          <w:color w:val="000000" w:themeColor="text1"/>
          <w:lang w:val="es-ES"/>
        </w:rPr>
        <w:t xml:space="preserve">que se caracteriza por su alta población indígena. </w:t>
      </w:r>
      <w:r w:rsidR="00F420B7">
        <w:rPr>
          <w:color w:val="000000" w:themeColor="text1"/>
          <w:lang w:val="es-ES"/>
        </w:rPr>
        <w:t xml:space="preserve">La población Wayuu representa </w:t>
      </w:r>
      <w:r w:rsidR="00F420B7" w:rsidRPr="004A0D77">
        <w:rPr>
          <w:color w:val="000000" w:themeColor="text1"/>
          <w:lang w:val="es-ES"/>
        </w:rPr>
        <w:t>un 3,43% de la población total colombiana, es decir 1.392.623 habitantes indígenas, de esta segmento poblacional el departamento de La Guajira es el tercer departamento del país con mayor población indígena en Colombia con una representatividad del (44,94%) siguiendo en su orden a los departamentos de Guainía (64,90%) y Vaupés (66,65%).</w:t>
      </w:r>
    </w:p>
    <w:p w14:paraId="4D4B2CF1" w14:textId="77777777" w:rsidR="00F420B7" w:rsidRPr="004A0D77" w:rsidRDefault="00F420B7" w:rsidP="00F420B7">
      <w:pPr>
        <w:spacing w:line="360" w:lineRule="auto"/>
        <w:jc w:val="both"/>
        <w:rPr>
          <w:color w:val="000000" w:themeColor="text1"/>
          <w:lang w:val="es-ES"/>
        </w:rPr>
      </w:pPr>
    </w:p>
    <w:p w14:paraId="319687FE" w14:textId="3633F7F1" w:rsidR="00636522" w:rsidRPr="004A0D77" w:rsidRDefault="00F420B7" w:rsidP="00F420B7">
      <w:pPr>
        <w:spacing w:after="100" w:afterAutospacing="1" w:line="360" w:lineRule="auto"/>
        <w:contextualSpacing/>
        <w:jc w:val="both"/>
        <w:rPr>
          <w:color w:val="000000" w:themeColor="text1"/>
          <w:lang w:val="es-ES"/>
        </w:rPr>
      </w:pPr>
      <w:r w:rsidRPr="004A0D77">
        <w:rPr>
          <w:color w:val="000000" w:themeColor="text1"/>
          <w:lang w:val="es-ES"/>
        </w:rPr>
        <w:t xml:space="preserve">La población Wayúu se concentra en el departamento de la Guajira, en donde habita el 98,03% </w:t>
      </w:r>
      <w:r w:rsidR="00572946" w:rsidRPr="004A0D77">
        <w:rPr>
          <w:color w:val="000000" w:themeColor="text1"/>
          <w:lang w:val="es-ES"/>
        </w:rPr>
        <w:t>la principal actividad económica del departamento se sustenta en la explotación de recursos minerales de los cuales el carbón, la sal, el mármol s</w:t>
      </w:r>
      <w:r>
        <w:rPr>
          <w:color w:val="000000" w:themeColor="text1"/>
          <w:lang w:val="es-ES"/>
        </w:rPr>
        <w:t>on los mas representativos. S</w:t>
      </w:r>
      <w:r w:rsidR="00572946" w:rsidRPr="004A0D77">
        <w:rPr>
          <w:color w:val="000000" w:themeColor="text1"/>
          <w:lang w:val="es-ES"/>
        </w:rPr>
        <w:t>in embargo siendo estos recursos de carácter no renovables y agotables en el tiempo generan una gran preocupación en materia de productividad y sostenimiento de la economía departamental. Dadas estas circunstancias el documento prospectivo denominado agenda de competitividad del departamento de La Guajira</w:t>
      </w:r>
      <w:r w:rsidR="006E3766" w:rsidRPr="004A0D77">
        <w:rPr>
          <w:color w:val="000000" w:themeColor="text1"/>
          <w:lang w:val="es-ES"/>
        </w:rPr>
        <w:t xml:space="preserve"> 2010 consideró el turismo como principal apuesta</w:t>
      </w:r>
      <w:r>
        <w:rPr>
          <w:color w:val="000000" w:themeColor="text1"/>
          <w:lang w:val="es-ES"/>
        </w:rPr>
        <w:t xml:space="preserve"> alternativa de</w:t>
      </w:r>
      <w:r w:rsidR="006E3766" w:rsidRPr="004A0D77">
        <w:rPr>
          <w:color w:val="000000" w:themeColor="text1"/>
          <w:lang w:val="es-ES"/>
        </w:rPr>
        <w:t xml:space="preserve"> </w:t>
      </w:r>
      <w:r>
        <w:rPr>
          <w:color w:val="000000" w:themeColor="text1"/>
          <w:lang w:val="es-ES"/>
        </w:rPr>
        <w:t xml:space="preserve">producción en el departamento, sus </w:t>
      </w:r>
      <w:r w:rsidR="006E3766" w:rsidRPr="004A0D77">
        <w:rPr>
          <w:color w:val="000000" w:themeColor="text1"/>
          <w:lang w:val="es-ES"/>
        </w:rPr>
        <w:t xml:space="preserve"> ventajas comparativas y las bondades naturales </w:t>
      </w:r>
      <w:r>
        <w:rPr>
          <w:color w:val="000000" w:themeColor="text1"/>
          <w:lang w:val="es-ES"/>
        </w:rPr>
        <w:t xml:space="preserve">son </w:t>
      </w:r>
      <w:r w:rsidR="006E3766" w:rsidRPr="004A0D77">
        <w:rPr>
          <w:color w:val="000000" w:themeColor="text1"/>
          <w:lang w:val="es-ES"/>
        </w:rPr>
        <w:t>propicias para e</w:t>
      </w:r>
      <w:r w:rsidR="00274ADE" w:rsidRPr="004A0D77">
        <w:rPr>
          <w:color w:val="000000" w:themeColor="text1"/>
          <w:lang w:val="es-ES"/>
        </w:rPr>
        <w:t>l desarrollo de esta actividad. E</w:t>
      </w:r>
      <w:r w:rsidR="006E3766" w:rsidRPr="004A0D77">
        <w:rPr>
          <w:color w:val="000000" w:themeColor="text1"/>
          <w:lang w:val="es-ES"/>
        </w:rPr>
        <w:t>l documento en referencia plantea dos tipologías de actividad turística a impulsar el ecoturismo y el etnoturismo como principales actividades. En la presente propuesta se parte de un conjunto de proposiciones que se someterán  a comprobación en el estudio</w:t>
      </w:r>
      <w:r w:rsidR="00636522" w:rsidRPr="004A0D77">
        <w:rPr>
          <w:color w:val="000000" w:themeColor="text1"/>
          <w:lang w:val="es-ES"/>
        </w:rPr>
        <w:t xml:space="preserve">, dadas las circunstancias del mismo. </w:t>
      </w:r>
      <w:r w:rsidR="006E3766" w:rsidRPr="004A0D77">
        <w:rPr>
          <w:color w:val="000000" w:themeColor="text1"/>
          <w:lang w:val="es-ES"/>
        </w:rPr>
        <w:t xml:space="preserve">Estas proposiciones </w:t>
      </w:r>
      <w:r w:rsidR="00636522" w:rsidRPr="004A0D77">
        <w:rPr>
          <w:color w:val="000000" w:themeColor="text1"/>
          <w:lang w:val="es-ES"/>
        </w:rPr>
        <w:t>tienen</w:t>
      </w:r>
      <w:r w:rsidR="006E3766" w:rsidRPr="004A0D77">
        <w:rPr>
          <w:color w:val="000000" w:themeColor="text1"/>
          <w:lang w:val="es-ES"/>
        </w:rPr>
        <w:t xml:space="preserve"> el </w:t>
      </w:r>
      <w:r w:rsidR="00636522" w:rsidRPr="004A0D77">
        <w:rPr>
          <w:color w:val="000000" w:themeColor="text1"/>
          <w:lang w:val="es-ES"/>
        </w:rPr>
        <w:t>carácter</w:t>
      </w:r>
      <w:r w:rsidR="006E3766" w:rsidRPr="004A0D77">
        <w:rPr>
          <w:color w:val="000000" w:themeColor="text1"/>
          <w:lang w:val="es-ES"/>
        </w:rPr>
        <w:t xml:space="preserve"> de provisionales </w:t>
      </w:r>
      <w:r w:rsidR="00636522" w:rsidRPr="004A0D77">
        <w:rPr>
          <w:color w:val="000000" w:themeColor="text1"/>
          <w:lang w:val="es-ES"/>
        </w:rPr>
        <w:t>puesto que entraran a ser comprobadas</w:t>
      </w:r>
      <w:r w:rsidR="006E3766" w:rsidRPr="004A0D77">
        <w:rPr>
          <w:color w:val="000000" w:themeColor="text1"/>
          <w:lang w:val="es-ES"/>
        </w:rPr>
        <w:t xml:space="preserve"> en el transcurso de la </w:t>
      </w:r>
      <w:r w:rsidR="00636522" w:rsidRPr="004A0D77">
        <w:rPr>
          <w:color w:val="000000" w:themeColor="text1"/>
          <w:lang w:val="es-ES"/>
        </w:rPr>
        <w:t>investigación como tal. Las proposiciones son las siguientes:</w:t>
      </w:r>
    </w:p>
    <w:p w14:paraId="4E3AB9B8" w14:textId="77777777" w:rsidR="00276074" w:rsidRPr="004A0D77" w:rsidRDefault="00276074" w:rsidP="00636522">
      <w:pPr>
        <w:spacing w:after="100" w:afterAutospacing="1" w:line="360" w:lineRule="auto"/>
        <w:contextualSpacing/>
        <w:jc w:val="both"/>
        <w:rPr>
          <w:color w:val="000000" w:themeColor="text1"/>
          <w:lang w:val="es-ES"/>
        </w:rPr>
      </w:pPr>
    </w:p>
    <w:p w14:paraId="0BC88CFB" w14:textId="038E2BDD" w:rsidR="00E361E3" w:rsidRPr="004A0D77" w:rsidRDefault="00636522" w:rsidP="00636522">
      <w:pPr>
        <w:pStyle w:val="Prrafodelista"/>
        <w:numPr>
          <w:ilvl w:val="0"/>
          <w:numId w:val="39"/>
        </w:numPr>
        <w:spacing w:after="100" w:afterAutospacing="1" w:line="360" w:lineRule="auto"/>
        <w:jc w:val="both"/>
        <w:rPr>
          <w:color w:val="000000" w:themeColor="text1"/>
          <w:lang w:val="es-ES"/>
        </w:rPr>
      </w:pPr>
      <w:r w:rsidRPr="004A0D77">
        <w:rPr>
          <w:color w:val="000000" w:themeColor="text1"/>
          <w:lang w:val="es-ES"/>
        </w:rPr>
        <w:lastRenderedPageBreak/>
        <w:t>El indígena wayuu, sus costumbres, creencias y forma de vivir se constituyen en un atractivo de interés para los turistas que escogen como destino el departamento de la Guajira.</w:t>
      </w:r>
    </w:p>
    <w:p w14:paraId="07B3444B" w14:textId="662B20AA" w:rsidR="00DC7212" w:rsidRPr="004A0D77" w:rsidRDefault="00276074" w:rsidP="00DC7212">
      <w:pPr>
        <w:pStyle w:val="Prrafodelista"/>
        <w:numPr>
          <w:ilvl w:val="0"/>
          <w:numId w:val="39"/>
        </w:numPr>
        <w:spacing w:after="100" w:afterAutospacing="1" w:line="360" w:lineRule="auto"/>
        <w:jc w:val="both"/>
        <w:rPr>
          <w:color w:val="000000" w:themeColor="text1"/>
          <w:lang w:val="es-ES"/>
        </w:rPr>
      </w:pPr>
      <w:r w:rsidRPr="004A0D77">
        <w:rPr>
          <w:color w:val="000000" w:themeColor="text1"/>
          <w:lang w:val="es-ES"/>
        </w:rPr>
        <w:t xml:space="preserve">El turismo étnico es, según las prospectivas institucionales, la actividad turística que  esta llamada representar uno de las principales actividades económica </w:t>
      </w:r>
      <w:r w:rsidRPr="004A0D77">
        <w:rPr>
          <w:color w:val="000000" w:themeColor="text1"/>
          <w:lang w:val="es-ES"/>
        </w:rPr>
        <w:t>en el departamento de La Guajira</w:t>
      </w:r>
      <w:r w:rsidRPr="004A0D77">
        <w:rPr>
          <w:color w:val="000000" w:themeColor="text1"/>
          <w:lang w:val="es-ES"/>
        </w:rPr>
        <w:t>.</w:t>
      </w:r>
    </w:p>
    <w:p w14:paraId="0D77F690" w14:textId="3B4F97F8" w:rsidR="00276074" w:rsidRPr="004A0D77" w:rsidRDefault="00276074" w:rsidP="00636522">
      <w:pPr>
        <w:pStyle w:val="Prrafodelista"/>
        <w:numPr>
          <w:ilvl w:val="0"/>
          <w:numId w:val="39"/>
        </w:numPr>
        <w:spacing w:after="100" w:afterAutospacing="1" w:line="360" w:lineRule="auto"/>
        <w:jc w:val="both"/>
        <w:rPr>
          <w:color w:val="000000" w:themeColor="text1"/>
          <w:lang w:val="es-ES"/>
        </w:rPr>
      </w:pPr>
      <w:r w:rsidRPr="004A0D77">
        <w:rPr>
          <w:color w:val="000000" w:themeColor="text1"/>
          <w:lang w:val="es-ES"/>
        </w:rPr>
        <w:t xml:space="preserve">Alguno </w:t>
      </w:r>
      <w:r w:rsidR="00DC7212" w:rsidRPr="004A0D77">
        <w:rPr>
          <w:color w:val="000000" w:themeColor="text1"/>
          <w:lang w:val="es-ES"/>
        </w:rPr>
        <w:t>de los principal</w:t>
      </w:r>
      <w:r w:rsidRPr="004A0D77">
        <w:rPr>
          <w:color w:val="000000" w:themeColor="text1"/>
          <w:lang w:val="es-ES"/>
        </w:rPr>
        <w:t>es componentes de la cosmogonía wayuu</w:t>
      </w:r>
      <w:r w:rsidR="00DC7212" w:rsidRPr="004A0D77">
        <w:rPr>
          <w:color w:val="000000" w:themeColor="text1"/>
          <w:lang w:val="es-ES"/>
        </w:rPr>
        <w:t>, en lo que respecta a su forma particular de ver la vida, serian: sus  costumbres</w:t>
      </w:r>
      <w:r w:rsidR="006705C3" w:rsidRPr="004A0D77">
        <w:rPr>
          <w:color w:val="000000" w:themeColor="text1"/>
          <w:lang w:val="es-ES"/>
        </w:rPr>
        <w:t>, ritos,</w:t>
      </w:r>
      <w:r w:rsidR="00DC7212" w:rsidRPr="004A0D77">
        <w:rPr>
          <w:color w:val="000000" w:themeColor="text1"/>
          <w:lang w:val="es-ES"/>
        </w:rPr>
        <w:t xml:space="preserve"> creencias, practicas y tradiciones.</w:t>
      </w:r>
    </w:p>
    <w:p w14:paraId="788C00E8" w14:textId="6FAF57A1" w:rsidR="006705C3" w:rsidRPr="004A0D77" w:rsidRDefault="00DC7212" w:rsidP="00636522">
      <w:pPr>
        <w:pStyle w:val="Prrafodelista"/>
        <w:numPr>
          <w:ilvl w:val="0"/>
          <w:numId w:val="39"/>
        </w:numPr>
        <w:spacing w:after="100" w:afterAutospacing="1" w:line="360" w:lineRule="auto"/>
        <w:jc w:val="both"/>
        <w:rPr>
          <w:color w:val="000000" w:themeColor="text1"/>
          <w:lang w:val="es-ES"/>
        </w:rPr>
      </w:pPr>
      <w:r w:rsidRPr="004A0D77">
        <w:rPr>
          <w:color w:val="000000" w:themeColor="text1"/>
          <w:lang w:val="es-ES"/>
        </w:rPr>
        <w:t xml:space="preserve">Las características particulares de los atractivos turísticos de carácter étnicos en el departamento de La Guajira son propicias para el desarrollo de un turismo especializado con orientación al desarrollo del turismo </w:t>
      </w:r>
      <w:r w:rsidR="006705C3" w:rsidRPr="004A0D77">
        <w:rPr>
          <w:color w:val="000000" w:themeColor="text1"/>
          <w:lang w:val="es-ES"/>
        </w:rPr>
        <w:t>cultural</w:t>
      </w:r>
      <w:r w:rsidRPr="004A0D77">
        <w:rPr>
          <w:color w:val="000000" w:themeColor="text1"/>
          <w:lang w:val="es-ES"/>
        </w:rPr>
        <w:t>.</w:t>
      </w:r>
    </w:p>
    <w:p w14:paraId="478BF62C" w14:textId="742DDC0D" w:rsidR="006705C3" w:rsidRPr="004A0D77" w:rsidRDefault="006705C3" w:rsidP="00636522">
      <w:pPr>
        <w:pStyle w:val="Prrafodelista"/>
        <w:numPr>
          <w:ilvl w:val="0"/>
          <w:numId w:val="39"/>
        </w:numPr>
        <w:spacing w:after="100" w:afterAutospacing="1" w:line="360" w:lineRule="auto"/>
        <w:jc w:val="both"/>
        <w:rPr>
          <w:color w:val="000000" w:themeColor="text1"/>
          <w:lang w:val="es-ES"/>
        </w:rPr>
      </w:pPr>
      <w:r w:rsidRPr="004A0D77">
        <w:rPr>
          <w:color w:val="000000" w:themeColor="text1"/>
          <w:lang w:val="es-ES"/>
        </w:rPr>
        <w:t xml:space="preserve">Los turistas perciben </w:t>
      </w:r>
      <w:r w:rsidR="00974AF7" w:rsidRPr="004A0D77">
        <w:rPr>
          <w:color w:val="000000" w:themeColor="text1"/>
          <w:lang w:val="es-ES"/>
        </w:rPr>
        <w:t>en</w:t>
      </w:r>
      <w:r w:rsidRPr="004A0D77">
        <w:rPr>
          <w:color w:val="000000" w:themeColor="text1"/>
          <w:lang w:val="es-ES"/>
        </w:rPr>
        <w:t xml:space="preserve"> los nativos wayuu como alguien que les ofrece unos servicios turísticos. Ellos valoran las </w:t>
      </w:r>
      <w:r w:rsidRPr="004A0D77">
        <w:rPr>
          <w:color w:val="000000" w:themeColor="text1"/>
          <w:lang w:val="es-ES"/>
        </w:rPr>
        <w:t xml:space="preserve">atenciones </w:t>
      </w:r>
      <w:r w:rsidRPr="004A0D77">
        <w:rPr>
          <w:color w:val="000000" w:themeColor="text1"/>
          <w:lang w:val="es-ES"/>
        </w:rPr>
        <w:t xml:space="preserve">ofrecidas por los </w:t>
      </w:r>
      <w:r w:rsidR="00974AF7" w:rsidRPr="004A0D77">
        <w:rPr>
          <w:color w:val="000000" w:themeColor="text1"/>
          <w:lang w:val="es-ES"/>
        </w:rPr>
        <w:t>Wayuu</w:t>
      </w:r>
      <w:r w:rsidRPr="004A0D77">
        <w:rPr>
          <w:color w:val="000000" w:themeColor="text1"/>
          <w:lang w:val="es-ES"/>
        </w:rPr>
        <w:t xml:space="preserve"> </w:t>
      </w:r>
      <w:r w:rsidRPr="004A0D77">
        <w:rPr>
          <w:color w:val="000000" w:themeColor="text1"/>
          <w:lang w:val="es-ES"/>
        </w:rPr>
        <w:t>en sus hábitat naturales</w:t>
      </w:r>
      <w:r w:rsidRPr="004A0D77">
        <w:rPr>
          <w:color w:val="000000" w:themeColor="text1"/>
          <w:lang w:val="es-ES"/>
        </w:rPr>
        <w:t xml:space="preserve"> de </w:t>
      </w:r>
      <w:r w:rsidR="00974AF7" w:rsidRPr="004A0D77">
        <w:rPr>
          <w:color w:val="000000" w:themeColor="text1"/>
          <w:lang w:val="es-ES"/>
        </w:rPr>
        <w:t>convivencia</w:t>
      </w:r>
      <w:r w:rsidRPr="004A0D77">
        <w:rPr>
          <w:color w:val="000000" w:themeColor="text1"/>
          <w:lang w:val="es-ES"/>
        </w:rPr>
        <w:t>.</w:t>
      </w:r>
    </w:p>
    <w:p w14:paraId="0E22021C" w14:textId="6809DCD1" w:rsidR="00D35BF3" w:rsidRPr="004A0D77" w:rsidRDefault="00974AF7" w:rsidP="00E9295B">
      <w:pPr>
        <w:pStyle w:val="Prrafodelista"/>
        <w:numPr>
          <w:ilvl w:val="0"/>
          <w:numId w:val="39"/>
        </w:numPr>
        <w:spacing w:after="100" w:afterAutospacing="1" w:line="360" w:lineRule="auto"/>
        <w:jc w:val="both"/>
        <w:rPr>
          <w:color w:val="000000" w:themeColor="text1"/>
          <w:lang w:val="es-ES"/>
        </w:rPr>
      </w:pPr>
      <w:r w:rsidRPr="004A0D77">
        <w:rPr>
          <w:color w:val="000000" w:themeColor="text1"/>
          <w:lang w:val="es-ES"/>
        </w:rPr>
        <w:t xml:space="preserve">Los gestores u operadores turísticos, encargados de realizar el primer contacto con los potenciales turistas, </w:t>
      </w:r>
      <w:r w:rsidR="004167AD" w:rsidRPr="004A0D77">
        <w:rPr>
          <w:color w:val="000000" w:themeColor="text1"/>
          <w:lang w:val="es-ES"/>
        </w:rPr>
        <w:t>s</w:t>
      </w:r>
      <w:r w:rsidR="004167AD" w:rsidRPr="004A0D77">
        <w:rPr>
          <w:color w:val="000000" w:themeColor="text1"/>
          <w:lang w:val="es-ES"/>
        </w:rPr>
        <w:t>u papel en el  proceso de cautivar, convencer y recibir a los visitantes</w:t>
      </w:r>
      <w:r w:rsidR="004167AD" w:rsidRPr="004A0D77">
        <w:rPr>
          <w:color w:val="000000" w:themeColor="text1"/>
          <w:lang w:val="es-ES"/>
        </w:rPr>
        <w:t>, constituye u</w:t>
      </w:r>
      <w:r w:rsidR="004167AD" w:rsidRPr="004A0D77">
        <w:rPr>
          <w:color w:val="000000" w:themeColor="text1"/>
          <w:lang w:val="es-ES"/>
        </w:rPr>
        <w:t xml:space="preserve">n determinante papel para el fomento del turismo </w:t>
      </w:r>
      <w:r w:rsidR="004167AD" w:rsidRPr="004A0D77">
        <w:rPr>
          <w:color w:val="000000" w:themeColor="text1"/>
          <w:lang w:val="es-ES"/>
        </w:rPr>
        <w:t xml:space="preserve">étnico. </w:t>
      </w:r>
    </w:p>
    <w:p w14:paraId="5CA1C65B" w14:textId="63D3E80D" w:rsidR="00B11509" w:rsidRPr="004A0D77" w:rsidRDefault="000840E7" w:rsidP="00B11509">
      <w:pPr>
        <w:jc w:val="both"/>
        <w:rPr>
          <w:color w:val="000000" w:themeColor="text1"/>
          <w:lang w:val="es-ES"/>
        </w:rPr>
      </w:pPr>
      <w:r>
        <w:rPr>
          <w:b/>
          <w:color w:val="000000" w:themeColor="text1"/>
          <w:lang w:val="es-ES"/>
        </w:rPr>
        <w:t>4.</w:t>
      </w:r>
      <w:r>
        <w:rPr>
          <w:b/>
          <w:color w:val="000000" w:themeColor="text1"/>
          <w:lang w:val="es-ES"/>
        </w:rPr>
        <w:tab/>
      </w:r>
      <w:r w:rsidR="00B11509" w:rsidRPr="004A0D77">
        <w:rPr>
          <w:b/>
          <w:color w:val="000000" w:themeColor="text1"/>
          <w:lang w:val="es-ES"/>
        </w:rPr>
        <w:t>METODOLOGÍA</w:t>
      </w:r>
    </w:p>
    <w:p w14:paraId="73F6C2F2" w14:textId="77777777" w:rsidR="00B11509" w:rsidRPr="004A0D77" w:rsidRDefault="00B11509" w:rsidP="00B11509">
      <w:pPr>
        <w:jc w:val="both"/>
        <w:rPr>
          <w:color w:val="000000" w:themeColor="text1"/>
          <w:lang w:val="es-ES"/>
        </w:rPr>
      </w:pPr>
    </w:p>
    <w:bookmarkEnd w:id="12"/>
    <w:bookmarkEnd w:id="13"/>
    <w:p w14:paraId="00F1441C" w14:textId="53A23FD0" w:rsidR="00274ADE" w:rsidRPr="004A0D77" w:rsidRDefault="001803FB" w:rsidP="00BE6F71">
      <w:pPr>
        <w:spacing w:after="100" w:afterAutospacing="1" w:line="360" w:lineRule="auto"/>
        <w:contextualSpacing/>
        <w:jc w:val="both"/>
        <w:rPr>
          <w:color w:val="000000" w:themeColor="text1"/>
          <w:lang w:val="es-ES"/>
        </w:rPr>
      </w:pPr>
      <w:r w:rsidRPr="004A0D77">
        <w:rPr>
          <w:color w:val="000000" w:themeColor="text1"/>
          <w:lang w:val="es-ES"/>
        </w:rPr>
        <w:t>Se realizará una investigación con el uso del paradigma cualitativo, con utilización de la estrategia o método etnográfico, entendida esta como una estrategia metodológica que enfatiza el trabajo de campo, el contacto directo con los actores objeto del estudio, en su hábitat natural de convivencia y durante un tiempo prolongado. y el apoyo de la antropología para la interpretación de los datos, como también la utilización del programa informático Atlas.ti ® para el manejo de los da</w:t>
      </w:r>
      <w:r w:rsidR="00B11509" w:rsidRPr="004A0D77">
        <w:rPr>
          <w:color w:val="000000" w:themeColor="text1"/>
          <w:lang w:val="es-ES"/>
        </w:rPr>
        <w:t>tos cualitativos que se generará</w:t>
      </w:r>
      <w:r w:rsidRPr="004A0D77">
        <w:rPr>
          <w:color w:val="000000" w:themeColor="text1"/>
          <w:lang w:val="es-ES"/>
        </w:rPr>
        <w:t xml:space="preserve">n en la investigación. Según Méndez como se citó en </w:t>
      </w:r>
      <w:r w:rsidRPr="004A0D77">
        <w:rPr>
          <w:color w:val="000000" w:themeColor="text1"/>
          <w:lang w:val="es-ES"/>
        </w:rPr>
        <w:fldChar w:fldCharType="begin" w:fldLock="1"/>
      </w:r>
      <w:r w:rsidRPr="004A0D77">
        <w:rPr>
          <w:color w:val="000000" w:themeColor="text1"/>
          <w:lang w:val="es-ES"/>
        </w:rPr>
        <w:instrText>ADDIN CSL_CITATION { "citationItems" : [ { "id" : "ITEM-1", "itemData" : { "author" : [ { "dropping-particle" : "", "family" : "P\u00e1ramo", "given" : "D", "non-dropping-particle" : "", "parse-names" : false, "suffix" : "" }, { "dropping-particle" : "", "family" : "Contreras", "given" : "M", "non-dropping-particle" : "", "parse-names" : false, "suffix" : "" }, { "dropping-particle" : "", "family" : "Arenas", "given" : "J", "non-dropping-particle" : "", "parse-names" : false, "suffix" : "" } ], "edition" : "Ediciones", "id" : "ITEM-1", "issued" : { "date-parts" : [ [ "2010" ] ] }, "publisher-place" : "Barranquilla - Colombia", "title" : "Canal Tradicional en Barranquilla: Evoluci\u00f3n y pr\u00e1cticas comerciales. Libro. .", "type" : "book" }, "uris" : [ "http://www.mendeley.com/documents/?uuid=c45a6322-03ff-435b-a49c-f4a7cc5ed019" ] } ], "mendeley" : { "formattedCitation" : "(P\u00e1ramo, Contreras, &amp; Arenas, 2010)", "manualFormatting" : "(P\u00e1ramo, Contreras y Arenas, 2010)", "plainTextFormattedCitation" : "(P\u00e1ramo, Contreras, &amp; Arenas, 2010)", "previouslyFormattedCitation" : "(P\u00e1ramo, Contreras, &amp; Arenas, 2010)" }, "properties" : { "noteIndex" : 0 }, "schema" : "https://github.com/citation-style-language/schema/raw/master/csl-citation.json" }</w:instrText>
      </w:r>
      <w:r w:rsidRPr="004A0D77">
        <w:rPr>
          <w:color w:val="000000" w:themeColor="text1"/>
          <w:lang w:val="es-ES"/>
        </w:rPr>
        <w:fldChar w:fldCharType="separate"/>
      </w:r>
      <w:r w:rsidRPr="004A0D77">
        <w:rPr>
          <w:noProof/>
          <w:color w:val="000000" w:themeColor="text1"/>
          <w:lang w:val="es-ES"/>
        </w:rPr>
        <w:t>(Páramo, Contreras y Arenas, 2010)</w:t>
      </w:r>
      <w:r w:rsidRPr="004A0D77">
        <w:rPr>
          <w:color w:val="000000" w:themeColor="text1"/>
          <w:lang w:val="es-ES"/>
        </w:rPr>
        <w:fldChar w:fldCharType="end"/>
      </w:r>
      <w:r w:rsidRPr="004A0D77">
        <w:rPr>
          <w:color w:val="000000" w:themeColor="text1"/>
          <w:lang w:val="es-ES"/>
        </w:rPr>
        <w:t xml:space="preserve"> afirma que la investigación en las ciencias sociales se ocupa de la descripción de las características que identifican los diferentes elementos y componentes, y su interrelación. </w:t>
      </w:r>
    </w:p>
    <w:p w14:paraId="1276E7A8" w14:textId="77777777" w:rsidR="00BE6F71" w:rsidRPr="004A0D77" w:rsidRDefault="00BE6F71" w:rsidP="00BE6F71">
      <w:pPr>
        <w:spacing w:after="100" w:afterAutospacing="1" w:line="360" w:lineRule="auto"/>
        <w:contextualSpacing/>
        <w:jc w:val="both"/>
        <w:rPr>
          <w:color w:val="000000" w:themeColor="text1"/>
          <w:lang w:val="es-ES"/>
        </w:rPr>
      </w:pPr>
    </w:p>
    <w:p w14:paraId="641478F1" w14:textId="77777777" w:rsidR="001803FB" w:rsidRPr="004A0D77" w:rsidRDefault="001803FB" w:rsidP="001803FB">
      <w:pPr>
        <w:widowControl w:val="0"/>
        <w:autoSpaceDE w:val="0"/>
        <w:autoSpaceDN w:val="0"/>
        <w:adjustRightInd w:val="0"/>
        <w:spacing w:after="240" w:line="360" w:lineRule="auto"/>
        <w:jc w:val="both"/>
        <w:rPr>
          <w:color w:val="000000" w:themeColor="text1"/>
          <w:lang w:val="es-ES"/>
        </w:rPr>
      </w:pPr>
      <w:r w:rsidRPr="004A0D77">
        <w:rPr>
          <w:color w:val="000000" w:themeColor="text1"/>
          <w:lang w:val="es-ES"/>
        </w:rPr>
        <w:t xml:space="preserve">Antes de iniciar el trabajo de campo que va a desarrollarse se hará una exhaustiva y detallada </w:t>
      </w:r>
      <w:r w:rsidRPr="004A0D77">
        <w:rPr>
          <w:color w:val="000000" w:themeColor="text1"/>
          <w:lang w:val="es-ES"/>
        </w:rPr>
        <w:lastRenderedPageBreak/>
        <w:t>revisión de los documentos existentes en dos niveles distintos pero complementarios en su esencia. Por un lado, se analizarán las diferentes aproximaciones conceptuales turismo étnico o Etnoturismo de manera sincrónica con cultura wayuu , este se llevará a cabo a través de un análisis riguroso de trabajos investigativos publicados en esta materia sobre todo de artículos publicados en revistas con mayor factor de impacto.</w:t>
      </w:r>
    </w:p>
    <w:p w14:paraId="0070A5CC" w14:textId="77777777" w:rsidR="001803FB" w:rsidRPr="004A0D77" w:rsidRDefault="001803FB" w:rsidP="001803FB">
      <w:pPr>
        <w:spacing w:line="360" w:lineRule="auto"/>
        <w:jc w:val="both"/>
        <w:rPr>
          <w:color w:val="000000" w:themeColor="text1"/>
          <w:lang w:val="es-ES"/>
        </w:rPr>
      </w:pPr>
      <w:r w:rsidRPr="004A0D77">
        <w:rPr>
          <w:color w:val="000000" w:themeColor="text1"/>
          <w:lang w:val="es-ES"/>
        </w:rPr>
        <w:t>Se pretende con esta revisión disponer del suficiente inventario de datos que permitan sacarle un mejor provecho al encuentro que durante el trabajo de campo se tendrán con los informantes escogidos.</w:t>
      </w:r>
    </w:p>
    <w:p w14:paraId="7D6AB010" w14:textId="77777777" w:rsidR="00274ADE" w:rsidRPr="004A0D77" w:rsidRDefault="00274ADE" w:rsidP="001803FB">
      <w:pPr>
        <w:spacing w:after="100" w:afterAutospacing="1" w:line="360" w:lineRule="auto"/>
        <w:contextualSpacing/>
        <w:jc w:val="both"/>
        <w:rPr>
          <w:color w:val="000000" w:themeColor="text1"/>
          <w:lang w:val="es-ES"/>
        </w:rPr>
      </w:pPr>
    </w:p>
    <w:p w14:paraId="0400D2C2" w14:textId="4525F342" w:rsidR="001803FB" w:rsidRPr="004A0D77" w:rsidRDefault="003F1FC5" w:rsidP="001803FB">
      <w:pPr>
        <w:spacing w:after="100" w:afterAutospacing="1" w:line="360" w:lineRule="auto"/>
        <w:contextualSpacing/>
        <w:jc w:val="both"/>
        <w:rPr>
          <w:color w:val="000000" w:themeColor="text1"/>
          <w:lang w:val="es-ES"/>
        </w:rPr>
      </w:pPr>
      <w:r>
        <w:rPr>
          <w:b/>
          <w:color w:val="000000" w:themeColor="text1"/>
          <w:lang w:val="es-ES"/>
        </w:rPr>
        <w:t>4.1</w:t>
      </w:r>
      <w:r>
        <w:rPr>
          <w:b/>
          <w:color w:val="000000" w:themeColor="text1"/>
          <w:lang w:val="es-ES"/>
        </w:rPr>
        <w:tab/>
      </w:r>
      <w:r w:rsidR="001803FB" w:rsidRPr="004A0D77">
        <w:rPr>
          <w:b/>
          <w:color w:val="000000" w:themeColor="text1"/>
          <w:lang w:val="es-ES"/>
        </w:rPr>
        <w:t>El Trabajo de Campo</w:t>
      </w:r>
      <w:r w:rsidR="001803FB" w:rsidRPr="004A0D77">
        <w:rPr>
          <w:color w:val="000000" w:themeColor="text1"/>
          <w:lang w:val="es-ES"/>
        </w:rPr>
        <w:t xml:space="preserve"> se desarrollará en el departamento de La Guajira, se realizarán observaciones pertinentes y se pretende entrar en el contacto con aquellos aspectos de la cultura Wayuu y el turismo étnico que nos permitan conocer de su cultura, hasta identificar intereses, valores, costumbres de los diferentes actores que intervienen en el desarrollo de la actividad turística  a través de entrevistas a profundidad. La recopilación de datos se realizara a través de las técnicas adecuadas para la investigación etnográfica que en este caso son: </w:t>
      </w:r>
    </w:p>
    <w:p w14:paraId="2EA1FCC6" w14:textId="77777777" w:rsidR="001803FB" w:rsidRPr="004A0D77" w:rsidRDefault="001803FB" w:rsidP="001803FB">
      <w:pPr>
        <w:spacing w:after="100" w:afterAutospacing="1" w:line="360" w:lineRule="auto"/>
        <w:contextualSpacing/>
        <w:jc w:val="both"/>
        <w:rPr>
          <w:color w:val="000000" w:themeColor="text1"/>
          <w:lang w:val="es-ES"/>
        </w:rPr>
      </w:pPr>
    </w:p>
    <w:p w14:paraId="564282A3" w14:textId="722DBAE7" w:rsidR="001803FB" w:rsidRPr="004A0D77" w:rsidRDefault="001803FB" w:rsidP="001803FB">
      <w:pPr>
        <w:spacing w:after="100" w:afterAutospacing="1" w:line="360" w:lineRule="auto"/>
        <w:contextualSpacing/>
        <w:jc w:val="both"/>
        <w:rPr>
          <w:color w:val="000000" w:themeColor="text1"/>
          <w:lang w:val="es-ES"/>
        </w:rPr>
      </w:pPr>
      <w:r w:rsidRPr="004A0D77">
        <w:rPr>
          <w:b/>
          <w:color w:val="000000" w:themeColor="text1"/>
          <w:lang w:val="es-ES"/>
        </w:rPr>
        <w:t>a) La entrevista cualitativa:</w:t>
      </w:r>
      <w:r w:rsidRPr="004A0D77">
        <w:rPr>
          <w:color w:val="000000" w:themeColor="text1"/>
          <w:lang w:val="es-ES"/>
        </w:rPr>
        <w:t xml:space="preserve"> como fuente primaria de información refiere </w:t>
      </w:r>
      <w:r w:rsidRPr="004A0D77">
        <w:rPr>
          <w:color w:val="000000" w:themeColor="text1"/>
          <w:lang w:val="es-ES"/>
        </w:rPr>
        <w:fldChar w:fldCharType="begin" w:fldLock="1"/>
      </w:r>
      <w:r w:rsidRPr="004A0D77">
        <w:rPr>
          <w:color w:val="000000" w:themeColor="text1"/>
          <w:lang w:val="es-ES"/>
        </w:rPr>
        <w:instrText>ADDIN CSL_CITATION { "citationItems" : [ { "id" : "ITEM-1", "itemData" : { "ISBN" : "9684442629", "author" : [ { "dropping-particle" : "", "family" : "C\u00e1ceres Gal\u00edndo", "given" : "Luis Jes\u00fas", "non-dropping-particle" : "", "parse-names" : false, "suffix" : "" } ], "id" : "ITEM-1", "issued" : { "date-parts" : [ [ "1998" ] ] }, "page" : "525", "title" : "Tecnicas de investigacion en sociedad cultura y comunicacion", "type" : "article" }, "uris" : [ "http://www.mendeley.com/documents/?uuid=11c2a2f0-a520-4328-bda2-d8846391d100" ] } ], "mendeley" : { "formattedCitation" : "(C\u00e1ceres Gal\u00edndo, 1998)", "manualFormatting" : "Gal\u00edndo (1998)", "plainTextFormattedCitation" : "(C\u00e1ceres Gal\u00edndo, 1998)", "previouslyFormattedCitation" : "(C\u00e1ceres Gal\u00edndo, 1998)" }, "properties" : { "noteIndex" : 0 }, "schema" : "https://github.com/citation-style-language/schema/raw/master/csl-citation.json" }</w:instrText>
      </w:r>
      <w:r w:rsidRPr="004A0D77">
        <w:rPr>
          <w:color w:val="000000" w:themeColor="text1"/>
          <w:lang w:val="es-ES"/>
        </w:rPr>
        <w:fldChar w:fldCharType="separate"/>
      </w:r>
      <w:r w:rsidRPr="004A0D77">
        <w:rPr>
          <w:noProof/>
          <w:color w:val="000000" w:themeColor="text1"/>
          <w:lang w:val="es-ES"/>
        </w:rPr>
        <w:t>Galíndo (1998)</w:t>
      </w:r>
      <w:r w:rsidRPr="004A0D77">
        <w:rPr>
          <w:color w:val="000000" w:themeColor="text1"/>
          <w:lang w:val="es-ES"/>
        </w:rPr>
        <w:fldChar w:fldCharType="end"/>
      </w:r>
      <w:r w:rsidRPr="004A0D77">
        <w:rPr>
          <w:color w:val="000000" w:themeColor="text1"/>
          <w:lang w:val="es-ES"/>
        </w:rPr>
        <w:t xml:space="preserve"> “</w:t>
      </w:r>
      <w:r w:rsidRPr="004A0D77">
        <w:rPr>
          <w:i/>
          <w:color w:val="000000" w:themeColor="text1"/>
          <w:lang w:val="es-ES"/>
        </w:rPr>
        <w:t>a una clase de entrevista no directiva, abierta, no estructurada y tampoco estandarizada, y es también un instrumento de camino entre la conversación cotidiana y la entrevista formal”</w:t>
      </w:r>
      <w:r w:rsidRPr="004A0D77">
        <w:rPr>
          <w:color w:val="000000" w:themeColor="text1"/>
          <w:lang w:val="es-ES"/>
        </w:rPr>
        <w:t xml:space="preserve">. Según </w:t>
      </w:r>
      <w:r w:rsidRPr="004A0D77">
        <w:rPr>
          <w:color w:val="000000" w:themeColor="text1"/>
          <w:lang w:val="es-ES"/>
        </w:rPr>
        <w:fldChar w:fldCharType="begin" w:fldLock="1"/>
      </w:r>
      <w:r w:rsidRPr="004A0D77">
        <w:rPr>
          <w:color w:val="000000" w:themeColor="text1"/>
          <w:lang w:val="es-ES"/>
        </w:rPr>
        <w:instrText>ADDIN CSL_CITATION { "citationItems" : [ { "id" : "ITEM-1", "itemData" : { "author" : [ { "dropping-particle" : "", "family" : "Berger", "given" : "Peter", "non-dropping-particle" : "", "parse-names" : false, "suffix" : "" }, { "dropping-particle" : "", "family" : "Luckman", "given" : "Thomas", "non-dropping-particle" : "", "parse-names" : false, "suffix" : "" } ], "editor" : [ { "dropping-particle" : "", "family" : "Amorrortu", "given" : "Editores", "non-dropping-particle" : "", "parse-names" : false, "suffix" : "" } ], "id" : "ITEM-1", "issued" : { "date-parts" : [ [ "1968" ] ] }, "publisher-place" : "Argentina", "title" : "Berger-Luckman -Construcci\u00f3n social de la realidad", "type" : "book" }, "uris" : [ "http://www.mendeley.com/documents/?uuid=78472f60-60b6-4c9d-93da-7e923e393ddc" ] } ], "mendeley" : { "formattedCitation" : "(Berger &amp; Luckman, 1968)", "manualFormatting" : "(Berger y Luckman, 1968)", "plainTextFormattedCitation" : "(Berger &amp; Luckman, 1968)", "previouslyFormattedCitation" : "(Berger &amp; Luckman, 1968)" }, "properties" : { "noteIndex" : 0 }, "schema" : "https://github.com/citation-style-language/schema/raw/master/csl-citation.json" }</w:instrText>
      </w:r>
      <w:r w:rsidRPr="004A0D77">
        <w:rPr>
          <w:color w:val="000000" w:themeColor="text1"/>
          <w:lang w:val="es-ES"/>
        </w:rPr>
        <w:fldChar w:fldCharType="separate"/>
      </w:r>
      <w:r w:rsidRPr="004A0D77">
        <w:rPr>
          <w:noProof/>
          <w:color w:val="000000" w:themeColor="text1"/>
          <w:lang w:val="es-ES"/>
        </w:rPr>
        <w:t>(Berger y Luckman, 1968)</w:t>
      </w:r>
      <w:r w:rsidRPr="004A0D77">
        <w:rPr>
          <w:color w:val="000000" w:themeColor="text1"/>
          <w:lang w:val="es-ES"/>
        </w:rPr>
        <w:fldChar w:fldCharType="end"/>
      </w:r>
      <w:r w:rsidRPr="004A0D77">
        <w:rPr>
          <w:color w:val="000000" w:themeColor="text1"/>
          <w:lang w:val="es-ES"/>
        </w:rPr>
        <w:t xml:space="preserve"> </w:t>
      </w:r>
      <w:r w:rsidRPr="004A0D77">
        <w:rPr>
          <w:i/>
          <w:color w:val="000000" w:themeColor="text1"/>
          <w:lang w:val="es-ES"/>
        </w:rPr>
        <w:t>“es un instrumento eﬁcaz de gran precisión en la medida que se fundamenta en la interrelación humana, siendo el orden social un orden deíctico. En concreto, la entrevista proporciona un excelente instrumento heurístico para combinar los enfoques prácticos, analíticos e interpretativos implícitos en todo proceso de comunicar”</w:t>
      </w:r>
      <w:r w:rsidRPr="004A0D77">
        <w:rPr>
          <w:color w:val="000000" w:themeColor="text1"/>
          <w:lang w:val="es-ES"/>
        </w:rPr>
        <w:t>.</w:t>
      </w:r>
      <w:r w:rsidR="00BE6F71" w:rsidRPr="004A0D77">
        <w:rPr>
          <w:color w:val="000000" w:themeColor="text1"/>
          <w:lang w:val="es-ES"/>
        </w:rPr>
        <w:t xml:space="preserve"> </w:t>
      </w:r>
      <w:r w:rsidRPr="004A0D77">
        <w:rPr>
          <w:color w:val="000000" w:themeColor="text1"/>
          <w:lang w:val="es-ES"/>
        </w:rPr>
        <w:t xml:space="preserve">Las entrevistas se realizaran en el ambiente natural de cada uno de los actores </w:t>
      </w:r>
      <w:r w:rsidR="00E16BF9" w:rsidRPr="004A0D77">
        <w:rPr>
          <w:color w:val="000000" w:themeColor="text1"/>
          <w:lang w:val="es-ES"/>
        </w:rPr>
        <w:t>(Cabo de la vela,  rancherías wayuu, santuario de flora y fauna de los flamencos, circuito de la alta Guajira y lugares de comercialización de artesanías de la etnia wayuu)</w:t>
      </w:r>
      <w:r w:rsidR="00E16BF9" w:rsidRPr="004A0D77">
        <w:rPr>
          <w:color w:val="000000" w:themeColor="text1"/>
          <w:lang w:val="es-ES"/>
        </w:rPr>
        <w:t xml:space="preserve"> </w:t>
      </w:r>
      <w:r w:rsidRPr="004A0D77">
        <w:rPr>
          <w:color w:val="000000" w:themeColor="text1"/>
          <w:lang w:val="es-ES"/>
        </w:rPr>
        <w:t>y se basaran en una guía General de Cuestionario por Temas.</w:t>
      </w:r>
    </w:p>
    <w:p w14:paraId="509A93E6" w14:textId="77777777" w:rsidR="001803FB" w:rsidRPr="004A0D77" w:rsidRDefault="001803FB" w:rsidP="001803FB">
      <w:pPr>
        <w:spacing w:after="100" w:afterAutospacing="1" w:line="360" w:lineRule="auto"/>
        <w:contextualSpacing/>
        <w:jc w:val="both"/>
        <w:rPr>
          <w:color w:val="000000" w:themeColor="text1"/>
          <w:lang w:val="es-ES"/>
        </w:rPr>
      </w:pPr>
    </w:p>
    <w:p w14:paraId="149204B0" w14:textId="23BC2E84" w:rsidR="004A0D77" w:rsidRDefault="001803FB" w:rsidP="001803FB">
      <w:pPr>
        <w:spacing w:after="100" w:afterAutospacing="1" w:line="360" w:lineRule="auto"/>
        <w:contextualSpacing/>
        <w:jc w:val="both"/>
        <w:rPr>
          <w:color w:val="000000" w:themeColor="text1"/>
          <w:lang w:val="es-ES"/>
        </w:rPr>
      </w:pPr>
      <w:r w:rsidRPr="004A0D77">
        <w:rPr>
          <w:b/>
          <w:color w:val="000000" w:themeColor="text1"/>
          <w:lang w:val="es-ES"/>
        </w:rPr>
        <w:t>b)</w:t>
      </w:r>
      <w:r w:rsidRPr="004A0D77">
        <w:rPr>
          <w:color w:val="000000" w:themeColor="text1"/>
          <w:lang w:val="es-ES"/>
        </w:rPr>
        <w:t xml:space="preserve"> </w:t>
      </w:r>
      <w:r w:rsidRPr="004A0D77">
        <w:rPr>
          <w:b/>
          <w:color w:val="000000" w:themeColor="text1"/>
          <w:lang w:val="es-ES"/>
        </w:rPr>
        <w:t>La Observación</w:t>
      </w:r>
      <w:r w:rsidRPr="004A0D77">
        <w:rPr>
          <w:color w:val="000000" w:themeColor="text1"/>
          <w:lang w:val="es-ES"/>
        </w:rPr>
        <w:t xml:space="preserve">: Se trata de una observación participante. Es la que “implica la participación del investigador en el campo de trabajo, la inmersión completa en el medio </w:t>
      </w:r>
      <w:r w:rsidRPr="004A0D77">
        <w:rPr>
          <w:color w:val="000000" w:themeColor="text1"/>
          <w:lang w:val="es-ES"/>
        </w:rPr>
        <w:lastRenderedPageBreak/>
        <w:t xml:space="preserve">cultural ajeno, a fin de conocer la vida real del grupo, los modos de vida: los horarios, las formas de vida, los diversos estilos y comportamientos, el nivel de educación, las amistades, relaciones, conflictos” </w:t>
      </w:r>
      <w:r w:rsidRPr="004A0D77">
        <w:rPr>
          <w:color w:val="000000" w:themeColor="text1"/>
          <w:lang w:val="es-ES"/>
        </w:rPr>
        <w:fldChar w:fldCharType="begin" w:fldLock="1"/>
      </w:r>
      <w:r w:rsidRPr="004A0D77">
        <w:rPr>
          <w:color w:val="000000" w:themeColor="text1"/>
          <w:lang w:val="es-ES"/>
        </w:rPr>
        <w:instrText>ADDIN CSL_CITATION { "citationItems" : [ { "id" : "ITEM-1", "itemData" : { "author" : [ { "dropping-particle" : "", "family" : "Perea", "given" : "Rogelia", "non-dropping-particle" : "", "parse-names" : false, "suffix" : "" } ], "edition" : "ediciones ", "id" : "ITEM-1", "issued" : { "date-parts" : [ [ "2004" ] ] }, "publisher-place" : "Espa\u00f1a", "title" : "La educaci\u00f3n para la salud, reto de nuestro tiempo", "type" : "book" }, "uris" : [ "http://www.mendeley.com/documents/?uuid=7a13cac7-ea0c-43d1-8c95-25aabfdabd8c" ] } ], "mendeley" : { "formattedCitation" : "(Perea, 2004)", "plainTextFormattedCitation" : "(Perea, 2004)", "previouslyFormattedCitation" : "(Perea, 2004)" }, "properties" : { "noteIndex" : 0 }, "schema" : "https://github.com/citation-style-language/schema/raw/master/csl-citation.json" }</w:instrText>
      </w:r>
      <w:r w:rsidRPr="004A0D77">
        <w:rPr>
          <w:color w:val="000000" w:themeColor="text1"/>
          <w:lang w:val="es-ES"/>
        </w:rPr>
        <w:fldChar w:fldCharType="separate"/>
      </w:r>
      <w:r w:rsidRPr="004A0D77">
        <w:rPr>
          <w:noProof/>
          <w:color w:val="000000" w:themeColor="text1"/>
          <w:lang w:val="es-ES"/>
        </w:rPr>
        <w:t>(Perea, 2004)</w:t>
      </w:r>
      <w:r w:rsidRPr="004A0D77">
        <w:rPr>
          <w:color w:val="000000" w:themeColor="text1"/>
          <w:lang w:val="es-ES"/>
        </w:rPr>
        <w:fldChar w:fldCharType="end"/>
      </w:r>
      <w:r w:rsidRPr="004A0D77">
        <w:rPr>
          <w:color w:val="000000" w:themeColor="text1"/>
          <w:lang w:val="es-ES"/>
        </w:rPr>
        <w:t xml:space="preserve"> Tradicionalmente implica la inmersión del etnógrafo en un grupo social, una cultura o medio ambiente por un período de tiempo. </w:t>
      </w:r>
    </w:p>
    <w:p w14:paraId="055142D1" w14:textId="77777777" w:rsidR="003F1FC5" w:rsidRPr="004A0D77" w:rsidRDefault="003F1FC5" w:rsidP="001803FB">
      <w:pPr>
        <w:spacing w:after="100" w:afterAutospacing="1" w:line="360" w:lineRule="auto"/>
        <w:contextualSpacing/>
        <w:jc w:val="both"/>
        <w:rPr>
          <w:color w:val="000000" w:themeColor="text1"/>
          <w:lang w:val="es-ES"/>
        </w:rPr>
      </w:pPr>
    </w:p>
    <w:p w14:paraId="52979513" w14:textId="5F681E5D" w:rsidR="001803FB" w:rsidRPr="004A0D77" w:rsidRDefault="001803FB" w:rsidP="001803FB">
      <w:pPr>
        <w:spacing w:after="100" w:afterAutospacing="1" w:line="360" w:lineRule="auto"/>
        <w:contextualSpacing/>
        <w:jc w:val="both"/>
        <w:rPr>
          <w:color w:val="000000" w:themeColor="text1"/>
          <w:lang w:val="es-ES"/>
        </w:rPr>
      </w:pPr>
      <w:r w:rsidRPr="004A0D77">
        <w:rPr>
          <w:color w:val="000000" w:themeColor="text1"/>
          <w:lang w:val="es-ES"/>
        </w:rPr>
        <w:t>La selección de informantes se realizara a través del método no probabilístico que algunos autores denominan “muestreo intencional u opinático” (Goetz y Le Compte, Citados por Galindo 1998). Para ello se establecieron los siguientes criterios:</w:t>
      </w:r>
    </w:p>
    <w:p w14:paraId="1C3EE79A" w14:textId="77777777" w:rsidR="001803FB" w:rsidRPr="004A0D77" w:rsidRDefault="001803FB" w:rsidP="004A0D77">
      <w:pPr>
        <w:pStyle w:val="Prrafodelista"/>
        <w:numPr>
          <w:ilvl w:val="0"/>
          <w:numId w:val="23"/>
        </w:numPr>
        <w:spacing w:after="100" w:afterAutospacing="1" w:line="276" w:lineRule="auto"/>
        <w:jc w:val="both"/>
        <w:rPr>
          <w:color w:val="000000" w:themeColor="text1"/>
          <w:lang w:val="es-ES"/>
        </w:rPr>
      </w:pPr>
      <w:r w:rsidRPr="004A0D77">
        <w:rPr>
          <w:color w:val="000000" w:themeColor="text1"/>
          <w:lang w:val="es-ES"/>
        </w:rPr>
        <w:t xml:space="preserve">Lideres wayuu del sector etnotuirsticos </w:t>
      </w:r>
    </w:p>
    <w:p w14:paraId="3447AF6D" w14:textId="77777777" w:rsidR="001803FB" w:rsidRPr="004A0D77" w:rsidRDefault="001803FB" w:rsidP="004A0D77">
      <w:pPr>
        <w:pStyle w:val="Prrafodelista"/>
        <w:numPr>
          <w:ilvl w:val="0"/>
          <w:numId w:val="23"/>
        </w:numPr>
        <w:spacing w:after="100" w:afterAutospacing="1" w:line="276" w:lineRule="auto"/>
        <w:jc w:val="both"/>
        <w:rPr>
          <w:color w:val="000000" w:themeColor="text1"/>
          <w:lang w:val="es-ES"/>
        </w:rPr>
      </w:pPr>
      <w:r w:rsidRPr="004A0D77">
        <w:rPr>
          <w:color w:val="000000" w:themeColor="text1"/>
          <w:lang w:val="es-ES"/>
        </w:rPr>
        <w:t>Prestadores de servicios turísticos</w:t>
      </w:r>
    </w:p>
    <w:p w14:paraId="3D21B014" w14:textId="77777777" w:rsidR="001803FB" w:rsidRPr="004A0D77" w:rsidRDefault="001803FB" w:rsidP="004A0D77">
      <w:pPr>
        <w:pStyle w:val="Prrafodelista"/>
        <w:numPr>
          <w:ilvl w:val="0"/>
          <w:numId w:val="23"/>
        </w:numPr>
        <w:spacing w:after="100" w:afterAutospacing="1" w:line="276" w:lineRule="auto"/>
        <w:jc w:val="both"/>
        <w:rPr>
          <w:color w:val="000000" w:themeColor="text1"/>
          <w:lang w:val="es-ES"/>
        </w:rPr>
      </w:pPr>
      <w:r w:rsidRPr="004A0D77">
        <w:rPr>
          <w:color w:val="000000" w:themeColor="text1"/>
          <w:lang w:val="es-ES"/>
        </w:rPr>
        <w:t xml:space="preserve">Turistas </w:t>
      </w:r>
    </w:p>
    <w:p w14:paraId="506CD40B" w14:textId="77777777" w:rsidR="001803FB" w:rsidRPr="004A0D77" w:rsidRDefault="001803FB" w:rsidP="004A0D77">
      <w:pPr>
        <w:pStyle w:val="Prrafodelista"/>
        <w:numPr>
          <w:ilvl w:val="0"/>
          <w:numId w:val="23"/>
        </w:numPr>
        <w:spacing w:after="100" w:afterAutospacing="1" w:line="276" w:lineRule="auto"/>
        <w:jc w:val="both"/>
        <w:rPr>
          <w:color w:val="000000" w:themeColor="text1"/>
          <w:lang w:val="es-ES"/>
        </w:rPr>
      </w:pPr>
      <w:r w:rsidRPr="004A0D77">
        <w:rPr>
          <w:color w:val="000000" w:themeColor="text1"/>
          <w:lang w:val="es-ES"/>
        </w:rPr>
        <w:t>Representante de la mesa sectorial turística de la Guajira</w:t>
      </w:r>
      <w:bookmarkStart w:id="14" w:name="_Toc413704712"/>
      <w:bookmarkStart w:id="15" w:name="_Toc423449892"/>
      <w:r w:rsidRPr="004A0D77">
        <w:rPr>
          <w:color w:val="000000" w:themeColor="text1"/>
          <w:lang w:val="es-ES"/>
        </w:rPr>
        <w:t>.</w:t>
      </w:r>
    </w:p>
    <w:p w14:paraId="7A0F8F98" w14:textId="77777777" w:rsidR="001803FB" w:rsidRPr="004A0D77" w:rsidRDefault="001803FB" w:rsidP="004A0D77">
      <w:pPr>
        <w:pStyle w:val="Prrafodelista"/>
        <w:numPr>
          <w:ilvl w:val="0"/>
          <w:numId w:val="23"/>
        </w:numPr>
        <w:spacing w:after="100" w:afterAutospacing="1" w:line="276" w:lineRule="auto"/>
        <w:jc w:val="both"/>
        <w:rPr>
          <w:rStyle w:val="Ttulo3Car"/>
          <w:rFonts w:ascii="Times New Roman" w:eastAsia="Calibri" w:hAnsi="Times New Roman" w:cs="Times New Roman"/>
          <w:b w:val="0"/>
          <w:bCs w:val="0"/>
          <w:color w:val="000000" w:themeColor="text1"/>
          <w:lang w:val="es-ES"/>
        </w:rPr>
      </w:pPr>
      <w:r w:rsidRPr="004A0D77">
        <w:rPr>
          <w:color w:val="000000" w:themeColor="text1"/>
          <w:lang w:val="es-ES"/>
        </w:rPr>
        <w:t xml:space="preserve">Artesanos de productos étnicos </w:t>
      </w:r>
    </w:p>
    <w:p w14:paraId="357D3663" w14:textId="5904191C" w:rsidR="004A0D77" w:rsidRPr="003F1FC5" w:rsidRDefault="001803FB" w:rsidP="003F1FC5">
      <w:pPr>
        <w:pStyle w:val="Ttulo1"/>
        <w:numPr>
          <w:ilvl w:val="0"/>
          <w:numId w:val="0"/>
        </w:numPr>
        <w:ind w:left="432" w:hanging="432"/>
        <w:jc w:val="center"/>
        <w:rPr>
          <w:rFonts w:ascii="Times New Roman" w:hAnsi="Times New Roman" w:cs="Times New Roman"/>
          <w:color w:val="000000" w:themeColor="text1"/>
          <w:lang w:val="es-ES"/>
        </w:rPr>
      </w:pPr>
      <w:bookmarkStart w:id="16" w:name="_Toc467319780"/>
      <w:bookmarkStart w:id="17" w:name="_Toc467616459"/>
      <w:bookmarkEnd w:id="14"/>
      <w:bookmarkEnd w:id="15"/>
      <w:r w:rsidRPr="004A0D77">
        <w:rPr>
          <w:rFonts w:ascii="Times New Roman" w:hAnsi="Times New Roman" w:cs="Times New Roman"/>
          <w:color w:val="000000" w:themeColor="text1"/>
          <w:lang w:val="es-ES"/>
        </w:rPr>
        <w:t>REFERENCIAS</w:t>
      </w:r>
      <w:bookmarkStart w:id="18" w:name="_GoBack"/>
      <w:bookmarkEnd w:id="16"/>
      <w:bookmarkEnd w:id="17"/>
      <w:bookmarkEnd w:id="18"/>
    </w:p>
    <w:p w14:paraId="0EAC0E7D" w14:textId="77777777" w:rsidR="001803FB" w:rsidRPr="004A0D77" w:rsidRDefault="001803FB" w:rsidP="001803FB">
      <w:pPr>
        <w:widowControl w:val="0"/>
        <w:autoSpaceDE w:val="0"/>
        <w:autoSpaceDN w:val="0"/>
        <w:adjustRightInd w:val="0"/>
        <w:ind w:left="480" w:hanging="480"/>
        <w:rPr>
          <w:noProof/>
          <w:color w:val="000000" w:themeColor="text1"/>
          <w:lang w:val="en-US"/>
        </w:rPr>
      </w:pPr>
      <w:r w:rsidRPr="004A0D77">
        <w:rPr>
          <w:color w:val="000000" w:themeColor="text1"/>
          <w:lang w:val="es-ES"/>
        </w:rPr>
        <w:fldChar w:fldCharType="begin" w:fldLock="1"/>
      </w:r>
      <w:r w:rsidRPr="004A0D77">
        <w:rPr>
          <w:color w:val="000000" w:themeColor="text1"/>
          <w:lang w:val="en-US"/>
        </w:rPr>
        <w:instrText xml:space="preserve">ADDIN Mendeley Bibliography CSL_BIBLIOGRAPHY </w:instrText>
      </w:r>
      <w:r w:rsidRPr="004A0D77">
        <w:rPr>
          <w:color w:val="000000" w:themeColor="text1"/>
          <w:lang w:val="es-ES"/>
        </w:rPr>
        <w:fldChar w:fldCharType="separate"/>
      </w:r>
      <w:r w:rsidRPr="004A0D77">
        <w:rPr>
          <w:noProof/>
          <w:color w:val="000000" w:themeColor="text1"/>
          <w:lang w:val="en-US"/>
        </w:rPr>
        <w:t xml:space="preserve">Abbott, C. (1995). The Lives of Two Mayan Women, </w:t>
      </w:r>
      <w:r w:rsidRPr="004A0D77">
        <w:rPr>
          <w:i/>
          <w:iCs/>
          <w:noProof/>
          <w:color w:val="000000" w:themeColor="text1"/>
          <w:lang w:val="en-US"/>
        </w:rPr>
        <w:t>22</w:t>
      </w:r>
      <w:r w:rsidRPr="004A0D77">
        <w:rPr>
          <w:noProof/>
          <w:color w:val="000000" w:themeColor="text1"/>
          <w:lang w:val="en-US"/>
        </w:rPr>
        <w:t>(2), 314–327.</w:t>
      </w:r>
    </w:p>
    <w:p w14:paraId="79B4893B" w14:textId="77777777" w:rsidR="001803FB" w:rsidRPr="004A0D77" w:rsidRDefault="001803FB" w:rsidP="001803FB">
      <w:pPr>
        <w:widowControl w:val="0"/>
        <w:autoSpaceDE w:val="0"/>
        <w:autoSpaceDN w:val="0"/>
        <w:adjustRightInd w:val="0"/>
        <w:ind w:left="480" w:hanging="480"/>
        <w:rPr>
          <w:noProof/>
          <w:color w:val="000000" w:themeColor="text1"/>
          <w:lang w:val="en-US"/>
        </w:rPr>
      </w:pPr>
      <w:r w:rsidRPr="004A0D77">
        <w:rPr>
          <w:noProof/>
          <w:color w:val="000000" w:themeColor="text1"/>
          <w:lang w:val="en-US"/>
        </w:rPr>
        <w:t xml:space="preserve">Adams, K. M. (2003). Cultural Displays and Tourism in Africa and the Americas. </w:t>
      </w:r>
      <w:r w:rsidRPr="004A0D77">
        <w:rPr>
          <w:i/>
          <w:iCs/>
          <w:noProof/>
          <w:color w:val="000000" w:themeColor="text1"/>
          <w:lang w:val="en-US"/>
        </w:rPr>
        <w:t>Etnohistory</w:t>
      </w:r>
      <w:r w:rsidRPr="004A0D77">
        <w:rPr>
          <w:noProof/>
          <w:color w:val="000000" w:themeColor="text1"/>
          <w:lang w:val="en-US"/>
        </w:rPr>
        <w:t>.</w:t>
      </w:r>
    </w:p>
    <w:p w14:paraId="1E0182A3" w14:textId="77777777" w:rsidR="001803FB" w:rsidRPr="004A0D77" w:rsidRDefault="001803FB" w:rsidP="001803FB">
      <w:pPr>
        <w:widowControl w:val="0"/>
        <w:autoSpaceDE w:val="0"/>
        <w:autoSpaceDN w:val="0"/>
        <w:adjustRightInd w:val="0"/>
        <w:ind w:left="480" w:hanging="480"/>
        <w:rPr>
          <w:noProof/>
          <w:color w:val="000000" w:themeColor="text1"/>
          <w:lang w:val="en-US"/>
        </w:rPr>
      </w:pPr>
      <w:r w:rsidRPr="004A0D77">
        <w:rPr>
          <w:noProof/>
          <w:color w:val="000000" w:themeColor="text1"/>
          <w:lang w:val="en-US"/>
        </w:rPr>
        <w:t xml:space="preserve">Adams, K. M. (2006). </w:t>
      </w:r>
      <w:r w:rsidRPr="004A0D77">
        <w:rPr>
          <w:i/>
          <w:iCs/>
          <w:noProof/>
          <w:color w:val="000000" w:themeColor="text1"/>
          <w:lang w:val="en-US"/>
        </w:rPr>
        <w:t>Art As Politics: Re-Crafting Identities, Tourism, and Power in Tana Toraja, Indonesia</w:t>
      </w:r>
      <w:r w:rsidRPr="004A0D77">
        <w:rPr>
          <w:noProof/>
          <w:color w:val="000000" w:themeColor="text1"/>
          <w:lang w:val="en-US"/>
        </w:rPr>
        <w:t>. ( and M. S. Southeast Asia: Politics, Meaning, Ed.)</w:t>
      </w:r>
      <w:r w:rsidRPr="004A0D77">
        <w:rPr>
          <w:i/>
          <w:iCs/>
          <w:noProof/>
          <w:color w:val="000000" w:themeColor="text1"/>
          <w:lang w:val="en-US"/>
        </w:rPr>
        <w:t>Pacific Affairs</w:t>
      </w:r>
      <w:r w:rsidRPr="004A0D77">
        <w:rPr>
          <w:noProof/>
          <w:color w:val="000000" w:themeColor="text1"/>
          <w:lang w:val="en-US"/>
        </w:rPr>
        <w:t xml:space="preserve"> (Vol. 81). http://doi.org/10.1163/156853108X327191</w:t>
      </w:r>
    </w:p>
    <w:p w14:paraId="3AFD77C3" w14:textId="77777777" w:rsidR="001803FB" w:rsidRPr="004A0D77" w:rsidRDefault="001803FB" w:rsidP="001803FB">
      <w:pPr>
        <w:widowControl w:val="0"/>
        <w:autoSpaceDE w:val="0"/>
        <w:autoSpaceDN w:val="0"/>
        <w:adjustRightInd w:val="0"/>
        <w:ind w:left="480" w:hanging="480"/>
        <w:rPr>
          <w:noProof/>
          <w:color w:val="000000" w:themeColor="text1"/>
          <w:lang w:val="en-US"/>
        </w:rPr>
      </w:pPr>
      <w:r w:rsidRPr="004A0D77">
        <w:rPr>
          <w:noProof/>
          <w:color w:val="000000" w:themeColor="text1"/>
        </w:rPr>
        <w:t xml:space="preserve">Amir, A. F., Ghapar, A. A., Jamal, S. A., &amp; Ahmad, K. N. (2015). </w:t>
      </w:r>
      <w:r w:rsidRPr="004A0D77">
        <w:rPr>
          <w:noProof/>
          <w:color w:val="000000" w:themeColor="text1"/>
          <w:lang w:val="en-US"/>
        </w:rPr>
        <w:t xml:space="preserve">Sustainable tourism development: A study on community resilience for rural tourism in Malaysia. </w:t>
      </w:r>
      <w:r w:rsidRPr="004A0D77">
        <w:rPr>
          <w:i/>
          <w:iCs/>
          <w:noProof/>
          <w:color w:val="000000" w:themeColor="text1"/>
          <w:lang w:val="en-US"/>
        </w:rPr>
        <w:t>Procedia - Social and Behavioral Sciences</w:t>
      </w:r>
      <w:r w:rsidRPr="004A0D77">
        <w:rPr>
          <w:noProof/>
          <w:color w:val="000000" w:themeColor="text1"/>
          <w:lang w:val="en-US"/>
        </w:rPr>
        <w:t xml:space="preserve">, </w:t>
      </w:r>
      <w:r w:rsidRPr="004A0D77">
        <w:rPr>
          <w:i/>
          <w:iCs/>
          <w:noProof/>
          <w:color w:val="000000" w:themeColor="text1"/>
          <w:lang w:val="en-US"/>
        </w:rPr>
        <w:t>168</w:t>
      </w:r>
      <w:r w:rsidRPr="004A0D77">
        <w:rPr>
          <w:noProof/>
          <w:color w:val="000000" w:themeColor="text1"/>
          <w:lang w:val="en-US"/>
        </w:rPr>
        <w:t>, 116–122. http://doi.org/10.1016/j.sbspro.2014.10.217</w:t>
      </w:r>
    </w:p>
    <w:p w14:paraId="28E857CC" w14:textId="77777777" w:rsidR="001803FB" w:rsidRPr="004A0D77" w:rsidRDefault="001803FB" w:rsidP="001803FB">
      <w:pPr>
        <w:widowControl w:val="0"/>
        <w:autoSpaceDE w:val="0"/>
        <w:autoSpaceDN w:val="0"/>
        <w:adjustRightInd w:val="0"/>
        <w:ind w:left="480" w:hanging="480"/>
        <w:rPr>
          <w:noProof/>
          <w:color w:val="000000" w:themeColor="text1"/>
          <w:lang w:val="en-US"/>
        </w:rPr>
      </w:pPr>
      <w:r w:rsidRPr="004A0D77">
        <w:rPr>
          <w:noProof/>
          <w:color w:val="000000" w:themeColor="text1"/>
        </w:rPr>
        <w:t xml:space="preserve">Andraz, J. M., Norte, N. M., &amp; Gonçalves, H. S. (2015). </w:t>
      </w:r>
      <w:r w:rsidRPr="004A0D77">
        <w:rPr>
          <w:noProof/>
          <w:color w:val="000000" w:themeColor="text1"/>
          <w:lang w:val="en-US"/>
        </w:rPr>
        <w:t xml:space="preserve">Effects of tourism on regional asymmetries: Empirical evidence for Portugal. </w:t>
      </w:r>
      <w:r w:rsidRPr="004A0D77">
        <w:rPr>
          <w:i/>
          <w:iCs/>
          <w:noProof/>
          <w:color w:val="000000" w:themeColor="text1"/>
          <w:lang w:val="en-US"/>
        </w:rPr>
        <w:t>Tourism Management</w:t>
      </w:r>
      <w:r w:rsidRPr="004A0D77">
        <w:rPr>
          <w:noProof/>
          <w:color w:val="000000" w:themeColor="text1"/>
          <w:lang w:val="en-US"/>
        </w:rPr>
        <w:t xml:space="preserve">, </w:t>
      </w:r>
      <w:r w:rsidRPr="004A0D77">
        <w:rPr>
          <w:i/>
          <w:iCs/>
          <w:noProof/>
          <w:color w:val="000000" w:themeColor="text1"/>
          <w:lang w:val="en-US"/>
        </w:rPr>
        <w:t>50</w:t>
      </w:r>
      <w:r w:rsidRPr="004A0D77">
        <w:rPr>
          <w:noProof/>
          <w:color w:val="000000" w:themeColor="text1"/>
          <w:lang w:val="en-US"/>
        </w:rPr>
        <w:t>, 257–267. http://doi.org/10.1016/j.tourman.2015.03.004</w:t>
      </w:r>
    </w:p>
    <w:p w14:paraId="747CEC6C" w14:textId="77777777" w:rsidR="001803FB" w:rsidRPr="004A0D77" w:rsidRDefault="001803FB" w:rsidP="001803FB">
      <w:pPr>
        <w:widowControl w:val="0"/>
        <w:autoSpaceDE w:val="0"/>
        <w:autoSpaceDN w:val="0"/>
        <w:adjustRightInd w:val="0"/>
        <w:ind w:left="480" w:hanging="480"/>
        <w:rPr>
          <w:noProof/>
          <w:color w:val="000000" w:themeColor="text1"/>
        </w:rPr>
      </w:pPr>
      <w:r w:rsidRPr="004A0D77">
        <w:rPr>
          <w:noProof/>
          <w:color w:val="000000" w:themeColor="text1"/>
          <w:lang w:val="en-US"/>
        </w:rPr>
        <w:t xml:space="preserve">Bari, M. cristina. </w:t>
      </w:r>
      <w:r w:rsidRPr="004A0D77">
        <w:rPr>
          <w:noProof/>
          <w:color w:val="000000" w:themeColor="text1"/>
        </w:rPr>
        <w:t>(2002). La cuestion etnica_ Aproximacion a los conceptos de grupo etnico, identidad etnica, etnicidad y relaciones interetnicas.</w:t>
      </w:r>
    </w:p>
    <w:p w14:paraId="7786D7BA" w14:textId="77777777" w:rsidR="001803FB" w:rsidRPr="004A0D77" w:rsidRDefault="001803FB" w:rsidP="001803FB">
      <w:pPr>
        <w:widowControl w:val="0"/>
        <w:autoSpaceDE w:val="0"/>
        <w:autoSpaceDN w:val="0"/>
        <w:adjustRightInd w:val="0"/>
        <w:ind w:left="480" w:hanging="480"/>
        <w:rPr>
          <w:noProof/>
          <w:color w:val="000000" w:themeColor="text1"/>
        </w:rPr>
      </w:pPr>
      <w:r w:rsidRPr="004A0D77">
        <w:rPr>
          <w:noProof/>
          <w:color w:val="000000" w:themeColor="text1"/>
        </w:rPr>
        <w:t xml:space="preserve">Barrado, D., &amp; Castiñeira, M. (1998). </w:t>
      </w:r>
      <w:r w:rsidRPr="004A0D77">
        <w:rPr>
          <w:i/>
          <w:iCs/>
          <w:noProof/>
          <w:color w:val="000000" w:themeColor="text1"/>
        </w:rPr>
        <w:t>El turismo: ultimo capitulo de la idealizacion historica de la naturaleza y el medio rural</w:t>
      </w:r>
      <w:r w:rsidRPr="004A0D77">
        <w:rPr>
          <w:noProof/>
          <w:color w:val="000000" w:themeColor="text1"/>
        </w:rPr>
        <w:t>.</w:t>
      </w:r>
    </w:p>
    <w:p w14:paraId="0B0EFB60" w14:textId="77777777" w:rsidR="001803FB" w:rsidRPr="004A0D77" w:rsidRDefault="001803FB" w:rsidP="001803FB">
      <w:pPr>
        <w:widowControl w:val="0"/>
        <w:autoSpaceDE w:val="0"/>
        <w:autoSpaceDN w:val="0"/>
        <w:adjustRightInd w:val="0"/>
        <w:ind w:left="480" w:hanging="480"/>
        <w:rPr>
          <w:noProof/>
          <w:color w:val="000000" w:themeColor="text1"/>
        </w:rPr>
      </w:pPr>
      <w:r w:rsidRPr="004A0D77">
        <w:rPr>
          <w:noProof/>
          <w:color w:val="000000" w:themeColor="text1"/>
        </w:rPr>
        <w:t xml:space="preserve">Barth, F. (1976). </w:t>
      </w:r>
      <w:r w:rsidRPr="004A0D77">
        <w:rPr>
          <w:i/>
          <w:iCs/>
          <w:noProof/>
          <w:color w:val="000000" w:themeColor="text1"/>
        </w:rPr>
        <w:t>Los grupos étnicos y sus fronteras</w:t>
      </w:r>
      <w:r w:rsidRPr="004A0D77">
        <w:rPr>
          <w:noProof/>
          <w:color w:val="000000" w:themeColor="text1"/>
        </w:rPr>
        <w:t xml:space="preserve">. </w:t>
      </w:r>
      <w:r w:rsidRPr="004A0D77">
        <w:rPr>
          <w:i/>
          <w:iCs/>
          <w:noProof/>
          <w:color w:val="000000" w:themeColor="text1"/>
        </w:rPr>
        <w:t>Fondo de Cultura Economica, Mexico</w:t>
      </w:r>
      <w:r w:rsidRPr="004A0D77">
        <w:rPr>
          <w:noProof/>
          <w:color w:val="000000" w:themeColor="text1"/>
        </w:rPr>
        <w:t>.</w:t>
      </w:r>
    </w:p>
    <w:p w14:paraId="58CE4EA4" w14:textId="77777777" w:rsidR="001803FB" w:rsidRPr="004A0D77" w:rsidRDefault="001803FB" w:rsidP="001803FB">
      <w:pPr>
        <w:widowControl w:val="0"/>
        <w:autoSpaceDE w:val="0"/>
        <w:autoSpaceDN w:val="0"/>
        <w:adjustRightInd w:val="0"/>
        <w:ind w:left="480" w:hanging="480"/>
        <w:rPr>
          <w:noProof/>
          <w:color w:val="000000" w:themeColor="text1"/>
        </w:rPr>
      </w:pPr>
      <w:r w:rsidRPr="004A0D77">
        <w:rPr>
          <w:noProof/>
          <w:color w:val="000000" w:themeColor="text1"/>
        </w:rPr>
        <w:t xml:space="preserve">Benavides, G. F. (2015). Las políticas públicas del turismo receptivo colombiano. </w:t>
      </w:r>
      <w:r w:rsidRPr="004A0D77">
        <w:rPr>
          <w:i/>
          <w:iCs/>
          <w:noProof/>
          <w:color w:val="000000" w:themeColor="text1"/>
        </w:rPr>
        <w:t>Suma de Negocios</w:t>
      </w:r>
      <w:r w:rsidRPr="004A0D77">
        <w:rPr>
          <w:noProof/>
          <w:color w:val="000000" w:themeColor="text1"/>
        </w:rPr>
        <w:t xml:space="preserve">, </w:t>
      </w:r>
      <w:r w:rsidRPr="004A0D77">
        <w:rPr>
          <w:i/>
          <w:iCs/>
          <w:noProof/>
          <w:color w:val="000000" w:themeColor="text1"/>
        </w:rPr>
        <w:t>6</w:t>
      </w:r>
      <w:r w:rsidRPr="004A0D77">
        <w:rPr>
          <w:noProof/>
          <w:color w:val="000000" w:themeColor="text1"/>
        </w:rPr>
        <w:t>(13), 66–73. http://doi.org/10.1016/j.sumneg.2015.08.005</w:t>
      </w:r>
    </w:p>
    <w:p w14:paraId="7DABCF54" w14:textId="77777777" w:rsidR="001803FB" w:rsidRPr="004A0D77" w:rsidRDefault="001803FB" w:rsidP="001803FB">
      <w:pPr>
        <w:widowControl w:val="0"/>
        <w:autoSpaceDE w:val="0"/>
        <w:autoSpaceDN w:val="0"/>
        <w:adjustRightInd w:val="0"/>
        <w:ind w:left="480" w:hanging="480"/>
        <w:rPr>
          <w:noProof/>
          <w:color w:val="000000" w:themeColor="text1"/>
          <w:lang w:val="en-US"/>
        </w:rPr>
      </w:pPr>
      <w:r w:rsidRPr="004A0D77">
        <w:rPr>
          <w:noProof/>
          <w:color w:val="000000" w:themeColor="text1"/>
        </w:rPr>
        <w:t xml:space="preserve">Berger, P., &amp; Luckman, T. (1968). </w:t>
      </w:r>
      <w:r w:rsidRPr="004A0D77">
        <w:rPr>
          <w:i/>
          <w:iCs/>
          <w:noProof/>
          <w:color w:val="000000" w:themeColor="text1"/>
        </w:rPr>
        <w:t>Berger-Luckman -Construcción social de la realidad</w:t>
      </w:r>
      <w:r w:rsidRPr="004A0D77">
        <w:rPr>
          <w:noProof/>
          <w:color w:val="000000" w:themeColor="text1"/>
        </w:rPr>
        <w:t xml:space="preserve">. </w:t>
      </w:r>
      <w:r w:rsidRPr="004A0D77">
        <w:rPr>
          <w:noProof/>
          <w:color w:val="000000" w:themeColor="text1"/>
          <w:lang w:val="en-US"/>
        </w:rPr>
        <w:t>(E. Amorrortu, Ed.). Argentina.</w:t>
      </w:r>
    </w:p>
    <w:p w14:paraId="433DBCFB" w14:textId="77777777" w:rsidR="001803FB" w:rsidRPr="004A0D77" w:rsidRDefault="001803FB" w:rsidP="001803FB">
      <w:pPr>
        <w:widowControl w:val="0"/>
        <w:autoSpaceDE w:val="0"/>
        <w:autoSpaceDN w:val="0"/>
        <w:adjustRightInd w:val="0"/>
        <w:ind w:left="480" w:hanging="480"/>
        <w:rPr>
          <w:noProof/>
          <w:color w:val="000000" w:themeColor="text1"/>
          <w:lang w:val="en-US"/>
        </w:rPr>
      </w:pPr>
      <w:r w:rsidRPr="004A0D77">
        <w:rPr>
          <w:noProof/>
          <w:color w:val="000000" w:themeColor="text1"/>
          <w:lang w:val="en-US"/>
        </w:rPr>
        <w:t xml:space="preserve">Bhati, A., &amp; Pearce, P. (2016). Vandalism and tourism settings: An integrative review. </w:t>
      </w:r>
      <w:r w:rsidRPr="004A0D77">
        <w:rPr>
          <w:i/>
          <w:iCs/>
          <w:noProof/>
          <w:color w:val="000000" w:themeColor="text1"/>
          <w:lang w:val="en-US"/>
        </w:rPr>
        <w:t>Tourism Management</w:t>
      </w:r>
      <w:r w:rsidRPr="004A0D77">
        <w:rPr>
          <w:noProof/>
          <w:color w:val="000000" w:themeColor="text1"/>
          <w:lang w:val="en-US"/>
        </w:rPr>
        <w:t xml:space="preserve">, </w:t>
      </w:r>
      <w:r w:rsidRPr="004A0D77">
        <w:rPr>
          <w:i/>
          <w:iCs/>
          <w:noProof/>
          <w:color w:val="000000" w:themeColor="text1"/>
          <w:lang w:val="en-US"/>
        </w:rPr>
        <w:t>57</w:t>
      </w:r>
      <w:r w:rsidRPr="004A0D77">
        <w:rPr>
          <w:noProof/>
          <w:color w:val="000000" w:themeColor="text1"/>
          <w:lang w:val="en-US"/>
        </w:rPr>
        <w:t>, 91–105. http://doi.org/10.1016/j.tourman.2016.05.005</w:t>
      </w:r>
    </w:p>
    <w:p w14:paraId="3287BF94" w14:textId="77777777" w:rsidR="001803FB" w:rsidRPr="004A0D77" w:rsidRDefault="001803FB" w:rsidP="001803FB">
      <w:pPr>
        <w:widowControl w:val="0"/>
        <w:autoSpaceDE w:val="0"/>
        <w:autoSpaceDN w:val="0"/>
        <w:adjustRightInd w:val="0"/>
        <w:ind w:left="480" w:hanging="480"/>
        <w:rPr>
          <w:noProof/>
          <w:color w:val="000000" w:themeColor="text1"/>
          <w:lang w:val="en-US"/>
        </w:rPr>
      </w:pPr>
      <w:r w:rsidRPr="004A0D77">
        <w:rPr>
          <w:noProof/>
          <w:color w:val="000000" w:themeColor="text1"/>
          <w:lang w:val="en-US"/>
        </w:rPr>
        <w:t xml:space="preserve">Blake, A., Arbache, J. S., Sinclair, M. T., &amp; Teles, V. (2008). Tourism and poverty relief. </w:t>
      </w:r>
      <w:r w:rsidRPr="004A0D77">
        <w:rPr>
          <w:i/>
          <w:iCs/>
          <w:noProof/>
          <w:color w:val="000000" w:themeColor="text1"/>
          <w:lang w:val="en-US"/>
        </w:rPr>
        <w:lastRenderedPageBreak/>
        <w:t>Annals of Tourism Research</w:t>
      </w:r>
      <w:r w:rsidRPr="004A0D77">
        <w:rPr>
          <w:noProof/>
          <w:color w:val="000000" w:themeColor="text1"/>
          <w:lang w:val="en-US"/>
        </w:rPr>
        <w:t xml:space="preserve">, </w:t>
      </w:r>
      <w:r w:rsidRPr="004A0D77">
        <w:rPr>
          <w:i/>
          <w:iCs/>
          <w:noProof/>
          <w:color w:val="000000" w:themeColor="text1"/>
          <w:lang w:val="en-US"/>
        </w:rPr>
        <w:t>35</w:t>
      </w:r>
      <w:r w:rsidRPr="004A0D77">
        <w:rPr>
          <w:noProof/>
          <w:color w:val="000000" w:themeColor="text1"/>
          <w:lang w:val="en-US"/>
        </w:rPr>
        <w:t>(1), 107–126. http://doi.org/10.1016/j.annals.2007.06.013</w:t>
      </w:r>
    </w:p>
    <w:p w14:paraId="1CCD54CE" w14:textId="77777777" w:rsidR="001803FB" w:rsidRPr="004A0D77" w:rsidRDefault="001803FB" w:rsidP="001803FB">
      <w:pPr>
        <w:widowControl w:val="0"/>
        <w:autoSpaceDE w:val="0"/>
        <w:autoSpaceDN w:val="0"/>
        <w:adjustRightInd w:val="0"/>
        <w:ind w:left="480" w:hanging="480"/>
        <w:rPr>
          <w:noProof/>
          <w:color w:val="000000" w:themeColor="text1"/>
          <w:lang w:val="en-US"/>
        </w:rPr>
      </w:pPr>
      <w:r w:rsidRPr="004A0D77">
        <w:rPr>
          <w:noProof/>
          <w:color w:val="000000" w:themeColor="text1"/>
          <w:lang w:val="en-US"/>
        </w:rPr>
        <w:t>Bormann, A. (1931). Die Lehre vom Fremdenverkehr. Verkehrswissenschaftliche Lehrmittelgesellschaft bei der Deutschen Reichsbahn., 7–9.</w:t>
      </w:r>
    </w:p>
    <w:p w14:paraId="0C3B139E" w14:textId="77777777" w:rsidR="001803FB" w:rsidRPr="004A0D77" w:rsidRDefault="001803FB" w:rsidP="001803FB">
      <w:pPr>
        <w:widowControl w:val="0"/>
        <w:autoSpaceDE w:val="0"/>
        <w:autoSpaceDN w:val="0"/>
        <w:adjustRightInd w:val="0"/>
        <w:ind w:left="480" w:hanging="480"/>
        <w:rPr>
          <w:noProof/>
          <w:color w:val="000000" w:themeColor="text1"/>
        </w:rPr>
      </w:pPr>
      <w:r w:rsidRPr="004A0D77">
        <w:rPr>
          <w:noProof/>
          <w:color w:val="000000" w:themeColor="text1"/>
        </w:rPr>
        <w:t>Cáceres Galíndo, L. J. (1998). Tecnicas de investigacion en sociedad cultura y comunicacion.</w:t>
      </w:r>
    </w:p>
    <w:p w14:paraId="516C5164" w14:textId="77777777" w:rsidR="001803FB" w:rsidRPr="004A0D77" w:rsidRDefault="001803FB" w:rsidP="001803FB">
      <w:pPr>
        <w:widowControl w:val="0"/>
        <w:autoSpaceDE w:val="0"/>
        <w:autoSpaceDN w:val="0"/>
        <w:adjustRightInd w:val="0"/>
        <w:ind w:left="480" w:hanging="480"/>
        <w:rPr>
          <w:noProof/>
          <w:color w:val="000000" w:themeColor="text1"/>
        </w:rPr>
      </w:pPr>
      <w:r w:rsidRPr="004A0D77">
        <w:rPr>
          <w:noProof/>
          <w:color w:val="000000" w:themeColor="text1"/>
        </w:rPr>
        <w:t>Campodónico, R., &amp; Chalar, L. (2014). El turismo como construcción social, 1–13.</w:t>
      </w:r>
    </w:p>
    <w:p w14:paraId="437B3D9F" w14:textId="77777777" w:rsidR="001803FB" w:rsidRPr="004A0D77" w:rsidRDefault="001803FB" w:rsidP="001803FB">
      <w:pPr>
        <w:widowControl w:val="0"/>
        <w:autoSpaceDE w:val="0"/>
        <w:autoSpaceDN w:val="0"/>
        <w:adjustRightInd w:val="0"/>
        <w:ind w:left="480" w:hanging="480"/>
        <w:rPr>
          <w:noProof/>
          <w:color w:val="000000" w:themeColor="text1"/>
          <w:lang w:val="en-US"/>
        </w:rPr>
      </w:pPr>
      <w:r w:rsidRPr="004A0D77">
        <w:rPr>
          <w:noProof/>
          <w:color w:val="000000" w:themeColor="text1"/>
          <w:lang w:val="en-US"/>
        </w:rPr>
        <w:t xml:space="preserve">Canavan, B. (2016). Tourism culture: Nexus, characteristics, context and sustainability. </w:t>
      </w:r>
      <w:r w:rsidRPr="004A0D77">
        <w:rPr>
          <w:i/>
          <w:iCs/>
          <w:noProof/>
          <w:color w:val="000000" w:themeColor="text1"/>
          <w:lang w:val="en-US"/>
        </w:rPr>
        <w:t>Tourism Management</w:t>
      </w:r>
      <w:r w:rsidRPr="004A0D77">
        <w:rPr>
          <w:noProof/>
          <w:color w:val="000000" w:themeColor="text1"/>
          <w:lang w:val="en-US"/>
        </w:rPr>
        <w:t xml:space="preserve">, </w:t>
      </w:r>
      <w:r w:rsidRPr="004A0D77">
        <w:rPr>
          <w:i/>
          <w:iCs/>
          <w:noProof/>
          <w:color w:val="000000" w:themeColor="text1"/>
          <w:lang w:val="en-US"/>
        </w:rPr>
        <w:t>53</w:t>
      </w:r>
      <w:r w:rsidRPr="004A0D77">
        <w:rPr>
          <w:noProof/>
          <w:color w:val="000000" w:themeColor="text1"/>
          <w:lang w:val="en-US"/>
        </w:rPr>
        <w:t>, 229–243. http://doi.org/10.1016/j.tourman.2015.10.002</w:t>
      </w:r>
    </w:p>
    <w:p w14:paraId="69F7E3DC" w14:textId="77777777" w:rsidR="001803FB" w:rsidRPr="004A0D77" w:rsidRDefault="001803FB" w:rsidP="001803FB">
      <w:pPr>
        <w:widowControl w:val="0"/>
        <w:autoSpaceDE w:val="0"/>
        <w:autoSpaceDN w:val="0"/>
        <w:adjustRightInd w:val="0"/>
        <w:ind w:left="480" w:hanging="480"/>
        <w:rPr>
          <w:noProof/>
          <w:color w:val="000000" w:themeColor="text1"/>
          <w:lang w:val="en-US"/>
        </w:rPr>
      </w:pPr>
      <w:r w:rsidRPr="004A0D77">
        <w:rPr>
          <w:noProof/>
          <w:color w:val="000000" w:themeColor="text1"/>
          <w:lang w:val="en-US"/>
        </w:rPr>
        <w:t xml:space="preserve">Chambers, D., &amp; Buzinde, C. (2015). Tourism and decolonisation: Locating research and self. </w:t>
      </w:r>
      <w:r w:rsidRPr="004A0D77">
        <w:rPr>
          <w:i/>
          <w:iCs/>
          <w:noProof/>
          <w:color w:val="000000" w:themeColor="text1"/>
          <w:lang w:val="en-US"/>
        </w:rPr>
        <w:t>Annals of Tourism Research</w:t>
      </w:r>
      <w:r w:rsidRPr="004A0D77">
        <w:rPr>
          <w:noProof/>
          <w:color w:val="000000" w:themeColor="text1"/>
          <w:lang w:val="en-US"/>
        </w:rPr>
        <w:t xml:space="preserve">, </w:t>
      </w:r>
      <w:r w:rsidRPr="004A0D77">
        <w:rPr>
          <w:i/>
          <w:iCs/>
          <w:noProof/>
          <w:color w:val="000000" w:themeColor="text1"/>
          <w:lang w:val="en-US"/>
        </w:rPr>
        <w:t>51</w:t>
      </w:r>
      <w:r w:rsidRPr="004A0D77">
        <w:rPr>
          <w:noProof/>
          <w:color w:val="000000" w:themeColor="text1"/>
          <w:lang w:val="en-US"/>
        </w:rPr>
        <w:t>, 1–16. http://doi.org/10.1016/j.annals.2014.12.002</w:t>
      </w:r>
    </w:p>
    <w:p w14:paraId="65ED6CB9" w14:textId="77777777" w:rsidR="001803FB" w:rsidRPr="004A0D77" w:rsidRDefault="001803FB" w:rsidP="001803FB">
      <w:pPr>
        <w:widowControl w:val="0"/>
        <w:autoSpaceDE w:val="0"/>
        <w:autoSpaceDN w:val="0"/>
        <w:adjustRightInd w:val="0"/>
        <w:ind w:left="480" w:hanging="480"/>
        <w:rPr>
          <w:noProof/>
          <w:color w:val="000000" w:themeColor="text1"/>
          <w:lang w:val="en-US"/>
        </w:rPr>
      </w:pPr>
      <w:r w:rsidRPr="004A0D77">
        <w:rPr>
          <w:noProof/>
          <w:color w:val="000000" w:themeColor="text1"/>
          <w:lang w:val="en-US"/>
        </w:rPr>
        <w:t xml:space="preserve">Chen, C. F., &amp; Chiou-Wei, S. Z. (2009). Tourism expansion, tourism uncertainty and economic growth: New evidence from Taiwan and Korea. </w:t>
      </w:r>
      <w:r w:rsidRPr="004A0D77">
        <w:rPr>
          <w:i/>
          <w:iCs/>
          <w:noProof/>
          <w:color w:val="000000" w:themeColor="text1"/>
          <w:lang w:val="en-US"/>
        </w:rPr>
        <w:t>Tourism Management</w:t>
      </w:r>
      <w:r w:rsidRPr="004A0D77">
        <w:rPr>
          <w:noProof/>
          <w:color w:val="000000" w:themeColor="text1"/>
          <w:lang w:val="en-US"/>
        </w:rPr>
        <w:t xml:space="preserve">, </w:t>
      </w:r>
      <w:r w:rsidRPr="004A0D77">
        <w:rPr>
          <w:i/>
          <w:iCs/>
          <w:noProof/>
          <w:color w:val="000000" w:themeColor="text1"/>
          <w:lang w:val="en-US"/>
        </w:rPr>
        <w:t>30</w:t>
      </w:r>
      <w:r w:rsidRPr="004A0D77">
        <w:rPr>
          <w:noProof/>
          <w:color w:val="000000" w:themeColor="text1"/>
          <w:lang w:val="en-US"/>
        </w:rPr>
        <w:t>(6), 812–818. http://doi.org/10.1016/j.tourman.2008.12.013</w:t>
      </w:r>
    </w:p>
    <w:p w14:paraId="6070F46F" w14:textId="77777777" w:rsidR="001803FB" w:rsidRPr="004A0D77" w:rsidRDefault="001803FB" w:rsidP="001803FB">
      <w:pPr>
        <w:widowControl w:val="0"/>
        <w:autoSpaceDE w:val="0"/>
        <w:autoSpaceDN w:val="0"/>
        <w:adjustRightInd w:val="0"/>
        <w:ind w:left="480" w:hanging="480"/>
        <w:rPr>
          <w:noProof/>
          <w:color w:val="000000" w:themeColor="text1"/>
          <w:lang w:val="en-US"/>
        </w:rPr>
      </w:pPr>
      <w:r w:rsidRPr="004A0D77">
        <w:rPr>
          <w:noProof/>
          <w:color w:val="000000" w:themeColor="text1"/>
          <w:lang w:val="en-US"/>
        </w:rPr>
        <w:t xml:space="preserve">Chhabra, D. (2012). Authenticating Ethnic Tourism. </w:t>
      </w:r>
      <w:r w:rsidRPr="004A0D77">
        <w:rPr>
          <w:i/>
          <w:iCs/>
          <w:noProof/>
          <w:color w:val="000000" w:themeColor="text1"/>
          <w:lang w:val="en-US"/>
        </w:rPr>
        <w:t>Tourism Management</w:t>
      </w:r>
      <w:r w:rsidRPr="004A0D77">
        <w:rPr>
          <w:noProof/>
          <w:color w:val="000000" w:themeColor="text1"/>
          <w:lang w:val="en-US"/>
        </w:rPr>
        <w:t xml:space="preserve">, </w:t>
      </w:r>
      <w:r w:rsidRPr="004A0D77">
        <w:rPr>
          <w:i/>
          <w:iCs/>
          <w:noProof/>
          <w:color w:val="000000" w:themeColor="text1"/>
          <w:lang w:val="en-US"/>
        </w:rPr>
        <w:t>33</w:t>
      </w:r>
      <w:r w:rsidRPr="004A0D77">
        <w:rPr>
          <w:noProof/>
          <w:color w:val="000000" w:themeColor="text1"/>
          <w:lang w:val="en-US"/>
        </w:rPr>
        <w:t>(4), 1005–1006. http://doi.org/10.1016/j.tourman.2011.09.001</w:t>
      </w:r>
    </w:p>
    <w:p w14:paraId="685E307F" w14:textId="77777777" w:rsidR="001803FB" w:rsidRPr="004A0D77" w:rsidRDefault="001803FB" w:rsidP="001803FB">
      <w:pPr>
        <w:widowControl w:val="0"/>
        <w:autoSpaceDE w:val="0"/>
        <w:autoSpaceDN w:val="0"/>
        <w:adjustRightInd w:val="0"/>
        <w:ind w:left="480" w:hanging="480"/>
        <w:rPr>
          <w:noProof/>
          <w:color w:val="000000" w:themeColor="text1"/>
          <w:lang w:val="en-US"/>
        </w:rPr>
      </w:pPr>
      <w:r w:rsidRPr="004A0D77">
        <w:rPr>
          <w:noProof/>
          <w:color w:val="000000" w:themeColor="text1"/>
          <w:lang w:val="en-US"/>
        </w:rPr>
        <w:t xml:space="preserve">Chou, M. C. (2013). Does tourism development promote economic growth in transition countries? A panel data analysis. </w:t>
      </w:r>
      <w:r w:rsidRPr="004A0D77">
        <w:rPr>
          <w:i/>
          <w:iCs/>
          <w:noProof/>
          <w:color w:val="000000" w:themeColor="text1"/>
          <w:lang w:val="en-US"/>
        </w:rPr>
        <w:t>Economic Modelling</w:t>
      </w:r>
      <w:r w:rsidRPr="004A0D77">
        <w:rPr>
          <w:noProof/>
          <w:color w:val="000000" w:themeColor="text1"/>
          <w:lang w:val="en-US"/>
        </w:rPr>
        <w:t xml:space="preserve">, </w:t>
      </w:r>
      <w:r w:rsidRPr="004A0D77">
        <w:rPr>
          <w:i/>
          <w:iCs/>
          <w:noProof/>
          <w:color w:val="000000" w:themeColor="text1"/>
          <w:lang w:val="en-US"/>
        </w:rPr>
        <w:t>33</w:t>
      </w:r>
      <w:r w:rsidRPr="004A0D77">
        <w:rPr>
          <w:noProof/>
          <w:color w:val="000000" w:themeColor="text1"/>
          <w:lang w:val="en-US"/>
        </w:rPr>
        <w:t>, 226–232. http://doi.org/10.1016/j.econmod.2013.04.024</w:t>
      </w:r>
    </w:p>
    <w:p w14:paraId="007760BE" w14:textId="77777777" w:rsidR="001803FB" w:rsidRPr="004A0D77" w:rsidRDefault="001803FB" w:rsidP="001803FB">
      <w:pPr>
        <w:widowControl w:val="0"/>
        <w:autoSpaceDE w:val="0"/>
        <w:autoSpaceDN w:val="0"/>
        <w:adjustRightInd w:val="0"/>
        <w:ind w:left="480" w:hanging="480"/>
        <w:rPr>
          <w:noProof/>
          <w:color w:val="000000" w:themeColor="text1"/>
          <w:lang w:val="en-US"/>
        </w:rPr>
      </w:pPr>
      <w:r w:rsidRPr="004A0D77">
        <w:rPr>
          <w:noProof/>
          <w:color w:val="000000" w:themeColor="text1"/>
        </w:rPr>
        <w:t xml:space="preserve">De Borja, S., Casanovas, P., &amp; Camprubi, R. (2002). </w:t>
      </w:r>
      <w:r w:rsidRPr="004A0D77">
        <w:rPr>
          <w:i/>
          <w:iCs/>
          <w:noProof/>
          <w:color w:val="000000" w:themeColor="text1"/>
        </w:rPr>
        <w:t>El consumidor turistico</w:t>
      </w:r>
      <w:r w:rsidRPr="004A0D77">
        <w:rPr>
          <w:noProof/>
          <w:color w:val="000000" w:themeColor="text1"/>
        </w:rPr>
        <w:t xml:space="preserve">. (Esic Edictorial, Ed.). </w:t>
      </w:r>
      <w:r w:rsidRPr="004A0D77">
        <w:rPr>
          <w:noProof/>
          <w:color w:val="000000" w:themeColor="text1"/>
          <w:lang w:val="en-US"/>
        </w:rPr>
        <w:t>Pozuelos de Alarcon, Madrid.</w:t>
      </w:r>
    </w:p>
    <w:p w14:paraId="7EC6FC03" w14:textId="77777777" w:rsidR="001803FB" w:rsidRPr="004A0D77" w:rsidRDefault="001803FB" w:rsidP="001803FB">
      <w:pPr>
        <w:widowControl w:val="0"/>
        <w:autoSpaceDE w:val="0"/>
        <w:autoSpaceDN w:val="0"/>
        <w:adjustRightInd w:val="0"/>
        <w:ind w:left="480" w:hanging="480"/>
        <w:rPr>
          <w:noProof/>
          <w:color w:val="000000" w:themeColor="text1"/>
          <w:lang w:val="en-US"/>
        </w:rPr>
      </w:pPr>
      <w:r w:rsidRPr="004A0D77">
        <w:rPr>
          <w:noProof/>
          <w:color w:val="000000" w:themeColor="text1"/>
          <w:lang w:val="en-US"/>
        </w:rPr>
        <w:t xml:space="preserve">De la Maza, F. (2016). State conceptions of indigenous tourism in Chile. </w:t>
      </w:r>
      <w:r w:rsidRPr="004A0D77">
        <w:rPr>
          <w:i/>
          <w:iCs/>
          <w:noProof/>
          <w:color w:val="000000" w:themeColor="text1"/>
          <w:lang w:val="en-US"/>
        </w:rPr>
        <w:t>Annals of Tourism Research</w:t>
      </w:r>
      <w:r w:rsidRPr="004A0D77">
        <w:rPr>
          <w:noProof/>
          <w:color w:val="000000" w:themeColor="text1"/>
          <w:lang w:val="en-US"/>
        </w:rPr>
        <w:t xml:space="preserve">, </w:t>
      </w:r>
      <w:r w:rsidRPr="004A0D77">
        <w:rPr>
          <w:i/>
          <w:iCs/>
          <w:noProof/>
          <w:color w:val="000000" w:themeColor="text1"/>
          <w:lang w:val="en-US"/>
        </w:rPr>
        <w:t>56</w:t>
      </w:r>
      <w:r w:rsidRPr="004A0D77">
        <w:rPr>
          <w:noProof/>
          <w:color w:val="000000" w:themeColor="text1"/>
          <w:lang w:val="en-US"/>
        </w:rPr>
        <w:t>, 80–95. http://doi.org/10.1016/j.annals.2015.11.008</w:t>
      </w:r>
    </w:p>
    <w:p w14:paraId="32BEF8A0" w14:textId="77777777" w:rsidR="001803FB" w:rsidRPr="004A0D77" w:rsidRDefault="001803FB" w:rsidP="001803FB">
      <w:pPr>
        <w:widowControl w:val="0"/>
        <w:autoSpaceDE w:val="0"/>
        <w:autoSpaceDN w:val="0"/>
        <w:adjustRightInd w:val="0"/>
        <w:ind w:left="480" w:hanging="480"/>
        <w:rPr>
          <w:noProof/>
          <w:color w:val="000000" w:themeColor="text1"/>
          <w:lang w:val="en-US"/>
        </w:rPr>
      </w:pPr>
      <w:r w:rsidRPr="004A0D77">
        <w:rPr>
          <w:noProof/>
          <w:color w:val="000000" w:themeColor="text1"/>
        </w:rPr>
        <w:t xml:space="preserve">Departamento Administrativo Nacional de Estadistica (DANE). (2010). La visibilización estadística de los grupos étnicos colombianos, 56. </w:t>
      </w:r>
      <w:r w:rsidRPr="004A0D77">
        <w:rPr>
          <w:noProof/>
          <w:color w:val="000000" w:themeColor="text1"/>
          <w:lang w:val="en-US"/>
        </w:rPr>
        <w:t>Retrieved from http://www.dane.gov.co/files/censo2005/etnia/sys/visibilidad_estadistica_etnicos.pdf</w:t>
      </w:r>
    </w:p>
    <w:p w14:paraId="6354E8F7" w14:textId="77777777" w:rsidR="001803FB" w:rsidRPr="004A0D77" w:rsidRDefault="001803FB" w:rsidP="001803FB">
      <w:pPr>
        <w:widowControl w:val="0"/>
        <w:autoSpaceDE w:val="0"/>
        <w:autoSpaceDN w:val="0"/>
        <w:adjustRightInd w:val="0"/>
        <w:ind w:left="480" w:hanging="480"/>
        <w:rPr>
          <w:noProof/>
          <w:color w:val="000000" w:themeColor="text1"/>
          <w:lang w:val="en-US"/>
        </w:rPr>
      </w:pPr>
      <w:r w:rsidRPr="004A0D77">
        <w:rPr>
          <w:noProof/>
          <w:color w:val="000000" w:themeColor="text1"/>
        </w:rPr>
        <w:t xml:space="preserve">Diario el Espectador. (2010, November 8). El palabrero wayuu - Espectador, p. 2. </w:t>
      </w:r>
      <w:r w:rsidRPr="004A0D77">
        <w:rPr>
          <w:noProof/>
          <w:color w:val="000000" w:themeColor="text1"/>
          <w:lang w:val="en-US"/>
        </w:rPr>
        <w:t>Bogota D.C. Retrieved from http://www.elinformador.com.co/index.php/region-caribe/77-la-guajira/7030-el-palabrero-wayuu-patrimonio-inmaterial-de-la-humanidad</w:t>
      </w:r>
    </w:p>
    <w:p w14:paraId="4B7A3993" w14:textId="77777777" w:rsidR="001803FB" w:rsidRPr="004A0D77" w:rsidRDefault="001803FB" w:rsidP="001803FB">
      <w:pPr>
        <w:widowControl w:val="0"/>
        <w:autoSpaceDE w:val="0"/>
        <w:autoSpaceDN w:val="0"/>
        <w:adjustRightInd w:val="0"/>
        <w:ind w:left="480" w:hanging="480"/>
        <w:rPr>
          <w:noProof/>
          <w:color w:val="000000" w:themeColor="text1"/>
        </w:rPr>
      </w:pPr>
      <w:r w:rsidRPr="004A0D77">
        <w:rPr>
          <w:noProof/>
          <w:color w:val="000000" w:themeColor="text1"/>
        </w:rPr>
        <w:t xml:space="preserve">Faría, J. V. (2003). Taliraai : Música , género y parentesco en la cultura wayúu, </w:t>
      </w:r>
      <w:r w:rsidRPr="004A0D77">
        <w:rPr>
          <w:i/>
          <w:iCs/>
          <w:noProof/>
          <w:color w:val="000000" w:themeColor="text1"/>
        </w:rPr>
        <w:t>19</w:t>
      </w:r>
      <w:r w:rsidRPr="004A0D77">
        <w:rPr>
          <w:noProof/>
          <w:color w:val="000000" w:themeColor="text1"/>
        </w:rPr>
        <w:t>, 9–25.</w:t>
      </w:r>
    </w:p>
    <w:p w14:paraId="2AFFA12F" w14:textId="77777777" w:rsidR="001803FB" w:rsidRPr="004A0D77" w:rsidRDefault="001803FB" w:rsidP="001803FB">
      <w:pPr>
        <w:widowControl w:val="0"/>
        <w:autoSpaceDE w:val="0"/>
        <w:autoSpaceDN w:val="0"/>
        <w:adjustRightInd w:val="0"/>
        <w:ind w:left="480" w:hanging="480"/>
        <w:rPr>
          <w:noProof/>
          <w:color w:val="000000" w:themeColor="text1"/>
        </w:rPr>
      </w:pPr>
      <w:r w:rsidRPr="004A0D77">
        <w:rPr>
          <w:noProof/>
          <w:color w:val="000000" w:themeColor="text1"/>
        </w:rPr>
        <w:t xml:space="preserve">Fisher, L., &amp; Espejo, J. (2011). </w:t>
      </w:r>
      <w:r w:rsidRPr="004A0D77">
        <w:rPr>
          <w:i/>
          <w:iCs/>
          <w:noProof/>
          <w:color w:val="000000" w:themeColor="text1"/>
        </w:rPr>
        <w:t>Mercadotecnia</w:t>
      </w:r>
      <w:r w:rsidRPr="004A0D77">
        <w:rPr>
          <w:noProof/>
          <w:color w:val="000000" w:themeColor="text1"/>
        </w:rPr>
        <w:t>. (S. D. C. McGraw-Hill / INTERAMERICANA Editores, Ed.) (Cuarta edi). Mexico. D.F.</w:t>
      </w:r>
    </w:p>
    <w:p w14:paraId="2BD74751" w14:textId="77777777" w:rsidR="001803FB" w:rsidRPr="004A0D77" w:rsidRDefault="001803FB" w:rsidP="001803FB">
      <w:pPr>
        <w:widowControl w:val="0"/>
        <w:autoSpaceDE w:val="0"/>
        <w:autoSpaceDN w:val="0"/>
        <w:adjustRightInd w:val="0"/>
        <w:ind w:left="480" w:hanging="480"/>
        <w:rPr>
          <w:noProof/>
          <w:color w:val="000000" w:themeColor="text1"/>
          <w:lang w:val="en-US"/>
        </w:rPr>
      </w:pPr>
      <w:r w:rsidRPr="004A0D77">
        <w:rPr>
          <w:noProof/>
          <w:color w:val="000000" w:themeColor="text1"/>
        </w:rPr>
        <w:t xml:space="preserve">Gómez, C. (2014, July 31). La palabra wayuu hecha patrimonio u rosario. </w:t>
      </w:r>
      <w:r w:rsidRPr="004A0D77">
        <w:rPr>
          <w:i/>
          <w:iCs/>
          <w:noProof/>
          <w:color w:val="000000" w:themeColor="text1"/>
          <w:lang w:val="en-US"/>
        </w:rPr>
        <w:t>Plaza Capital</w:t>
      </w:r>
      <w:r w:rsidRPr="004A0D77">
        <w:rPr>
          <w:noProof/>
          <w:color w:val="000000" w:themeColor="text1"/>
          <w:lang w:val="en-US"/>
        </w:rPr>
        <w:t>, p. 2. Retrieved from http://www.urosario.edu.co/Plaza-Capital/CULTURA/La-palabra-wayuu-hecha-patrimonio/</w:t>
      </w:r>
    </w:p>
    <w:p w14:paraId="7CD7AD96" w14:textId="77777777" w:rsidR="001803FB" w:rsidRPr="004A0D77" w:rsidRDefault="001803FB" w:rsidP="001803FB">
      <w:pPr>
        <w:widowControl w:val="0"/>
        <w:autoSpaceDE w:val="0"/>
        <w:autoSpaceDN w:val="0"/>
        <w:adjustRightInd w:val="0"/>
        <w:ind w:left="480" w:hanging="480"/>
        <w:rPr>
          <w:noProof/>
          <w:color w:val="000000" w:themeColor="text1"/>
          <w:lang w:val="en-US"/>
        </w:rPr>
      </w:pPr>
      <w:r w:rsidRPr="004A0D77">
        <w:rPr>
          <w:noProof/>
          <w:color w:val="000000" w:themeColor="text1"/>
        </w:rPr>
        <w:t xml:space="preserve">Hinojosa, F. C. (2010, November 30). el palabrero wayuu. </w:t>
      </w:r>
      <w:r w:rsidRPr="004A0D77">
        <w:rPr>
          <w:i/>
          <w:iCs/>
          <w:noProof/>
          <w:color w:val="000000" w:themeColor="text1"/>
        </w:rPr>
        <w:t>Diario El Nuevo Siglo</w:t>
      </w:r>
      <w:r w:rsidRPr="004A0D77">
        <w:rPr>
          <w:noProof/>
          <w:color w:val="000000" w:themeColor="text1"/>
        </w:rPr>
        <w:t xml:space="preserve">, p. 2. </w:t>
      </w:r>
      <w:r w:rsidRPr="004A0D77">
        <w:rPr>
          <w:noProof/>
          <w:color w:val="000000" w:themeColor="text1"/>
          <w:lang w:val="en-US"/>
        </w:rPr>
        <w:t>Retrieved from http://www.alainet.org/es/active/42705</w:t>
      </w:r>
    </w:p>
    <w:p w14:paraId="792B5869" w14:textId="77777777" w:rsidR="001803FB" w:rsidRPr="004A0D77" w:rsidRDefault="001803FB" w:rsidP="001803FB">
      <w:pPr>
        <w:widowControl w:val="0"/>
        <w:autoSpaceDE w:val="0"/>
        <w:autoSpaceDN w:val="0"/>
        <w:adjustRightInd w:val="0"/>
        <w:ind w:left="480" w:hanging="480"/>
        <w:rPr>
          <w:noProof/>
          <w:color w:val="000000" w:themeColor="text1"/>
          <w:lang w:val="en-US"/>
        </w:rPr>
      </w:pPr>
      <w:r w:rsidRPr="004A0D77">
        <w:rPr>
          <w:noProof/>
          <w:color w:val="000000" w:themeColor="text1"/>
          <w:lang w:val="en-US"/>
        </w:rPr>
        <w:t xml:space="preserve">Hipwell, W. T. (2007). Taiwan aboriginal ecotourism. Tanayiku Natural Ecology Park. </w:t>
      </w:r>
      <w:r w:rsidRPr="004A0D77">
        <w:rPr>
          <w:i/>
          <w:iCs/>
          <w:noProof/>
          <w:color w:val="000000" w:themeColor="text1"/>
          <w:lang w:val="en-US"/>
        </w:rPr>
        <w:t>Annals of Tourism Research</w:t>
      </w:r>
      <w:r w:rsidRPr="004A0D77">
        <w:rPr>
          <w:noProof/>
          <w:color w:val="000000" w:themeColor="text1"/>
          <w:lang w:val="en-US"/>
        </w:rPr>
        <w:t xml:space="preserve">, </w:t>
      </w:r>
      <w:r w:rsidRPr="004A0D77">
        <w:rPr>
          <w:i/>
          <w:iCs/>
          <w:noProof/>
          <w:color w:val="000000" w:themeColor="text1"/>
          <w:lang w:val="en-US"/>
        </w:rPr>
        <w:t>34</w:t>
      </w:r>
      <w:r w:rsidRPr="004A0D77">
        <w:rPr>
          <w:noProof/>
          <w:color w:val="000000" w:themeColor="text1"/>
          <w:lang w:val="en-US"/>
        </w:rPr>
        <w:t>(4), 876–897. http://doi.org/10.1016/j.annals.2007.04.002</w:t>
      </w:r>
    </w:p>
    <w:p w14:paraId="0EEBBD57" w14:textId="77777777" w:rsidR="001803FB" w:rsidRPr="004A0D77" w:rsidRDefault="001803FB" w:rsidP="001803FB">
      <w:pPr>
        <w:widowControl w:val="0"/>
        <w:autoSpaceDE w:val="0"/>
        <w:autoSpaceDN w:val="0"/>
        <w:adjustRightInd w:val="0"/>
        <w:ind w:left="480" w:hanging="480"/>
        <w:rPr>
          <w:noProof/>
          <w:color w:val="000000" w:themeColor="text1"/>
        </w:rPr>
      </w:pPr>
      <w:r w:rsidRPr="004A0D77">
        <w:rPr>
          <w:noProof/>
          <w:color w:val="000000" w:themeColor="text1"/>
          <w:lang w:val="en-US"/>
        </w:rPr>
        <w:t xml:space="preserve">Ibañez, R., &amp; Rodríguez, I. (2012). </w:t>
      </w:r>
      <w:r w:rsidRPr="004A0D77">
        <w:rPr>
          <w:noProof/>
          <w:color w:val="000000" w:themeColor="text1"/>
        </w:rPr>
        <w:t xml:space="preserve">Tipologías y Antecedentes de la Actividad Turística: Turismo Tradicional y Turismo Alternativo. </w:t>
      </w:r>
      <w:r w:rsidRPr="004A0D77">
        <w:rPr>
          <w:i/>
          <w:iCs/>
          <w:noProof/>
          <w:color w:val="000000" w:themeColor="text1"/>
        </w:rPr>
        <w:t>Medio Ambiente Y Política Turística. Tomo 1: Ecología, Biodiversidad Y Desarrolllo Turístico</w:t>
      </w:r>
      <w:r w:rsidRPr="004A0D77">
        <w:rPr>
          <w:noProof/>
          <w:color w:val="000000" w:themeColor="text1"/>
        </w:rPr>
        <w:t>, 17–33.</w:t>
      </w:r>
    </w:p>
    <w:p w14:paraId="04CB7C90" w14:textId="77777777" w:rsidR="001803FB" w:rsidRPr="004A0D77" w:rsidRDefault="001803FB" w:rsidP="001803FB">
      <w:pPr>
        <w:widowControl w:val="0"/>
        <w:autoSpaceDE w:val="0"/>
        <w:autoSpaceDN w:val="0"/>
        <w:adjustRightInd w:val="0"/>
        <w:ind w:left="480" w:hanging="480"/>
        <w:rPr>
          <w:noProof/>
          <w:color w:val="000000" w:themeColor="text1"/>
          <w:lang w:val="en-US"/>
        </w:rPr>
      </w:pPr>
      <w:r w:rsidRPr="004A0D77">
        <w:rPr>
          <w:noProof/>
          <w:color w:val="000000" w:themeColor="text1"/>
          <w:lang w:val="en-US"/>
        </w:rPr>
        <w:t xml:space="preserve">Ishii, K. (2012). The impact of ethnic tourism on hill tribes in Thailand. </w:t>
      </w:r>
      <w:r w:rsidRPr="004A0D77">
        <w:rPr>
          <w:i/>
          <w:iCs/>
          <w:noProof/>
          <w:color w:val="000000" w:themeColor="text1"/>
          <w:lang w:val="en-US"/>
        </w:rPr>
        <w:t>Annals of Tourism Research</w:t>
      </w:r>
      <w:r w:rsidRPr="004A0D77">
        <w:rPr>
          <w:noProof/>
          <w:color w:val="000000" w:themeColor="text1"/>
          <w:lang w:val="en-US"/>
        </w:rPr>
        <w:t xml:space="preserve">, </w:t>
      </w:r>
      <w:r w:rsidRPr="004A0D77">
        <w:rPr>
          <w:i/>
          <w:iCs/>
          <w:noProof/>
          <w:color w:val="000000" w:themeColor="text1"/>
          <w:lang w:val="en-US"/>
        </w:rPr>
        <w:t>39</w:t>
      </w:r>
      <w:r w:rsidRPr="004A0D77">
        <w:rPr>
          <w:noProof/>
          <w:color w:val="000000" w:themeColor="text1"/>
          <w:lang w:val="en-US"/>
        </w:rPr>
        <w:t>(1), 290–310. http://doi.org/10.1016/j.annals.2011.05.004</w:t>
      </w:r>
    </w:p>
    <w:p w14:paraId="0D765E82" w14:textId="4233D1CA" w:rsidR="001803FB" w:rsidRPr="004A0D77" w:rsidRDefault="001803FB" w:rsidP="001803FB">
      <w:pPr>
        <w:widowControl w:val="0"/>
        <w:autoSpaceDE w:val="0"/>
        <w:autoSpaceDN w:val="0"/>
        <w:adjustRightInd w:val="0"/>
        <w:ind w:left="480" w:hanging="480"/>
        <w:rPr>
          <w:noProof/>
          <w:color w:val="000000" w:themeColor="text1"/>
        </w:rPr>
      </w:pPr>
      <w:r w:rsidRPr="004A0D77">
        <w:rPr>
          <w:noProof/>
          <w:color w:val="000000" w:themeColor="text1"/>
          <w:lang w:val="en-US"/>
        </w:rPr>
        <w:t xml:space="preserve">Jafari, J. (2005). </w:t>
      </w:r>
      <w:r w:rsidRPr="004A0D77">
        <w:rPr>
          <w:noProof/>
          <w:color w:val="000000" w:themeColor="text1"/>
        </w:rPr>
        <w:t xml:space="preserve">El turismo como disciplina cientifica. </w:t>
      </w:r>
      <w:r w:rsidRPr="004A0D77">
        <w:rPr>
          <w:i/>
          <w:iCs/>
          <w:noProof/>
          <w:color w:val="000000" w:themeColor="text1"/>
        </w:rPr>
        <w:t>Politica Y Sociedad</w:t>
      </w:r>
      <w:r w:rsidRPr="004A0D77">
        <w:rPr>
          <w:noProof/>
          <w:color w:val="000000" w:themeColor="text1"/>
        </w:rPr>
        <w:t xml:space="preserve">, </w:t>
      </w:r>
      <w:r w:rsidRPr="004A0D77">
        <w:rPr>
          <w:i/>
          <w:iCs/>
          <w:noProof/>
          <w:color w:val="000000" w:themeColor="text1"/>
        </w:rPr>
        <w:t>42</w:t>
      </w:r>
      <w:r w:rsidRPr="004A0D77">
        <w:rPr>
          <w:noProof/>
          <w:color w:val="000000" w:themeColor="text1"/>
        </w:rPr>
        <w:t xml:space="preserve">(1), 39–56. </w:t>
      </w:r>
    </w:p>
    <w:p w14:paraId="11144B90" w14:textId="77777777" w:rsidR="001803FB" w:rsidRPr="004A0D77" w:rsidRDefault="001803FB" w:rsidP="001803FB">
      <w:pPr>
        <w:widowControl w:val="0"/>
        <w:autoSpaceDE w:val="0"/>
        <w:autoSpaceDN w:val="0"/>
        <w:adjustRightInd w:val="0"/>
        <w:ind w:left="480" w:hanging="480"/>
        <w:rPr>
          <w:noProof/>
          <w:color w:val="000000" w:themeColor="text1"/>
          <w:lang w:val="en-US"/>
        </w:rPr>
      </w:pPr>
      <w:r w:rsidRPr="004A0D77">
        <w:rPr>
          <w:noProof/>
          <w:color w:val="000000" w:themeColor="text1"/>
          <w:lang w:val="en-US"/>
        </w:rPr>
        <w:t xml:space="preserve">Li, H., Chen, J. L., Li, G., &amp; Goh, C. (2016). Tourism and regional income inequality: </w:t>
      </w:r>
      <w:r w:rsidRPr="004A0D77">
        <w:rPr>
          <w:noProof/>
          <w:color w:val="000000" w:themeColor="text1"/>
          <w:lang w:val="en-US"/>
        </w:rPr>
        <w:lastRenderedPageBreak/>
        <w:t xml:space="preserve">Evidence from China. </w:t>
      </w:r>
      <w:r w:rsidRPr="004A0D77">
        <w:rPr>
          <w:i/>
          <w:iCs/>
          <w:noProof/>
          <w:color w:val="000000" w:themeColor="text1"/>
          <w:lang w:val="en-US"/>
        </w:rPr>
        <w:t>Annals of Tourism Research</w:t>
      </w:r>
      <w:r w:rsidRPr="004A0D77">
        <w:rPr>
          <w:noProof/>
          <w:color w:val="000000" w:themeColor="text1"/>
          <w:lang w:val="en-US"/>
        </w:rPr>
        <w:t xml:space="preserve">, </w:t>
      </w:r>
      <w:r w:rsidRPr="004A0D77">
        <w:rPr>
          <w:i/>
          <w:iCs/>
          <w:noProof/>
          <w:color w:val="000000" w:themeColor="text1"/>
          <w:lang w:val="en-US"/>
        </w:rPr>
        <w:t>58</w:t>
      </w:r>
      <w:r w:rsidRPr="004A0D77">
        <w:rPr>
          <w:noProof/>
          <w:color w:val="000000" w:themeColor="text1"/>
          <w:lang w:val="en-US"/>
        </w:rPr>
        <w:t>, 81–99. http://doi.org/10.1016/j.annals.2016.02.001</w:t>
      </w:r>
    </w:p>
    <w:p w14:paraId="52A39ED7" w14:textId="77777777" w:rsidR="001803FB" w:rsidRPr="004A0D77" w:rsidRDefault="001803FB" w:rsidP="001803FB">
      <w:pPr>
        <w:widowControl w:val="0"/>
        <w:autoSpaceDE w:val="0"/>
        <w:autoSpaceDN w:val="0"/>
        <w:adjustRightInd w:val="0"/>
        <w:ind w:left="480" w:hanging="480"/>
        <w:rPr>
          <w:noProof/>
          <w:color w:val="000000" w:themeColor="text1"/>
        </w:rPr>
      </w:pPr>
      <w:r w:rsidRPr="004A0D77">
        <w:rPr>
          <w:noProof/>
          <w:color w:val="000000" w:themeColor="text1"/>
          <w:lang w:val="en-US"/>
        </w:rPr>
        <w:t xml:space="preserve">Liu, A., &amp; Wall, G. (2006). Planning tourism employment: A developing country perspective. </w:t>
      </w:r>
      <w:r w:rsidRPr="004A0D77">
        <w:rPr>
          <w:i/>
          <w:iCs/>
          <w:noProof/>
          <w:color w:val="000000" w:themeColor="text1"/>
        </w:rPr>
        <w:t>Tourism Management</w:t>
      </w:r>
      <w:r w:rsidRPr="004A0D77">
        <w:rPr>
          <w:noProof/>
          <w:color w:val="000000" w:themeColor="text1"/>
        </w:rPr>
        <w:t xml:space="preserve">, </w:t>
      </w:r>
      <w:r w:rsidRPr="004A0D77">
        <w:rPr>
          <w:i/>
          <w:iCs/>
          <w:noProof/>
          <w:color w:val="000000" w:themeColor="text1"/>
        </w:rPr>
        <w:t>27</w:t>
      </w:r>
      <w:r w:rsidRPr="004A0D77">
        <w:rPr>
          <w:noProof/>
          <w:color w:val="000000" w:themeColor="text1"/>
        </w:rPr>
        <w:t>(1), 159–170. http://doi.org/10.1016/j.tourman.2004.08.004</w:t>
      </w:r>
    </w:p>
    <w:p w14:paraId="6A117B8A" w14:textId="77777777" w:rsidR="001803FB" w:rsidRPr="004A0D77" w:rsidRDefault="001803FB" w:rsidP="001803FB">
      <w:pPr>
        <w:widowControl w:val="0"/>
        <w:autoSpaceDE w:val="0"/>
        <w:autoSpaceDN w:val="0"/>
        <w:adjustRightInd w:val="0"/>
        <w:ind w:left="480" w:hanging="480"/>
        <w:rPr>
          <w:noProof/>
          <w:color w:val="000000" w:themeColor="text1"/>
          <w:lang w:val="en-US"/>
        </w:rPr>
      </w:pPr>
      <w:r w:rsidRPr="004A0D77">
        <w:rPr>
          <w:noProof/>
          <w:color w:val="000000" w:themeColor="text1"/>
        </w:rPr>
        <w:t xml:space="preserve">Marín, E. (2014). Cosmogonía y Rito en la Vivienda Wayúu, 188. </w:t>
      </w:r>
      <w:r w:rsidRPr="004A0D77">
        <w:rPr>
          <w:noProof/>
          <w:color w:val="000000" w:themeColor="text1"/>
          <w:lang w:val="en-US"/>
        </w:rPr>
        <w:t>Retrieved from http://www.bdigital.unal.edu.co/45840/</w:t>
      </w:r>
    </w:p>
    <w:p w14:paraId="3BBD4A61" w14:textId="77777777" w:rsidR="001803FB" w:rsidRPr="004A0D77" w:rsidRDefault="001803FB" w:rsidP="001803FB">
      <w:pPr>
        <w:widowControl w:val="0"/>
        <w:autoSpaceDE w:val="0"/>
        <w:autoSpaceDN w:val="0"/>
        <w:adjustRightInd w:val="0"/>
        <w:ind w:left="480" w:hanging="480"/>
        <w:rPr>
          <w:noProof/>
          <w:color w:val="000000" w:themeColor="text1"/>
        </w:rPr>
      </w:pPr>
      <w:r w:rsidRPr="004A0D77">
        <w:rPr>
          <w:noProof/>
          <w:color w:val="000000" w:themeColor="text1"/>
        </w:rPr>
        <w:t>MIncultura. (2004). Wayuú, gente de arena, sol y viento, 1–11.</w:t>
      </w:r>
    </w:p>
    <w:p w14:paraId="67DB3EA2" w14:textId="77777777" w:rsidR="001803FB" w:rsidRPr="004A0D77" w:rsidRDefault="001803FB" w:rsidP="001803FB">
      <w:pPr>
        <w:widowControl w:val="0"/>
        <w:autoSpaceDE w:val="0"/>
        <w:autoSpaceDN w:val="0"/>
        <w:adjustRightInd w:val="0"/>
        <w:ind w:left="480" w:hanging="480"/>
        <w:rPr>
          <w:noProof/>
          <w:color w:val="000000" w:themeColor="text1"/>
          <w:lang w:val="en-US"/>
        </w:rPr>
      </w:pPr>
      <w:r w:rsidRPr="004A0D77">
        <w:rPr>
          <w:noProof/>
          <w:color w:val="000000" w:themeColor="text1"/>
        </w:rPr>
        <w:t xml:space="preserve">Mininterior. (2007). Poblacion Wayuu en Colombia. </w:t>
      </w:r>
      <w:r w:rsidRPr="004A0D77">
        <w:rPr>
          <w:noProof/>
          <w:color w:val="000000" w:themeColor="text1"/>
          <w:lang w:val="en-US"/>
        </w:rPr>
        <w:t>Retrieved from http://siic.mininterior.gov.co/sites/default/files/upload/SIIC/PueblosIndigenas/pueblo_way_u.pdf</w:t>
      </w:r>
    </w:p>
    <w:p w14:paraId="60FEAD0F" w14:textId="77777777" w:rsidR="001803FB" w:rsidRPr="004A0D77" w:rsidRDefault="001803FB" w:rsidP="001803FB">
      <w:pPr>
        <w:widowControl w:val="0"/>
        <w:autoSpaceDE w:val="0"/>
        <w:autoSpaceDN w:val="0"/>
        <w:adjustRightInd w:val="0"/>
        <w:ind w:left="480" w:hanging="480"/>
        <w:rPr>
          <w:noProof/>
          <w:color w:val="000000" w:themeColor="text1"/>
        </w:rPr>
      </w:pPr>
      <w:r w:rsidRPr="004A0D77">
        <w:rPr>
          <w:noProof/>
          <w:color w:val="000000" w:themeColor="text1"/>
        </w:rPr>
        <w:t xml:space="preserve">Molina, F. (2013). Venganza y Encierro Como Funciones Restauradoras del Orden Social: Un Enfoque Simbólico-Ritual del Crimen en la Cultura Wayúu. </w:t>
      </w:r>
      <w:r w:rsidRPr="004A0D77">
        <w:rPr>
          <w:i/>
          <w:iCs/>
          <w:noProof/>
          <w:color w:val="000000" w:themeColor="text1"/>
        </w:rPr>
        <w:t>Nómadas. Revista Crítica de Ciencias Sociales Y Jurídicas</w:t>
      </w:r>
      <w:r w:rsidRPr="004A0D77">
        <w:rPr>
          <w:noProof/>
          <w:color w:val="000000" w:themeColor="text1"/>
        </w:rPr>
        <w:t>.</w:t>
      </w:r>
    </w:p>
    <w:p w14:paraId="2541FAFB" w14:textId="77777777" w:rsidR="001803FB" w:rsidRPr="004A0D77" w:rsidRDefault="001803FB" w:rsidP="001803FB">
      <w:pPr>
        <w:widowControl w:val="0"/>
        <w:autoSpaceDE w:val="0"/>
        <w:autoSpaceDN w:val="0"/>
        <w:adjustRightInd w:val="0"/>
        <w:ind w:left="480" w:hanging="480"/>
        <w:rPr>
          <w:noProof/>
          <w:color w:val="000000" w:themeColor="text1"/>
          <w:lang w:val="en-US"/>
        </w:rPr>
      </w:pPr>
      <w:r w:rsidRPr="004A0D77">
        <w:rPr>
          <w:noProof/>
          <w:color w:val="000000" w:themeColor="text1"/>
        </w:rPr>
        <w:t xml:space="preserve">Organización Mundial del Turismo. (2008). Panorama OMT del turismo internacional, Edición 2015: Default Book Series. </w:t>
      </w:r>
      <w:r w:rsidRPr="004A0D77">
        <w:rPr>
          <w:noProof/>
          <w:color w:val="000000" w:themeColor="text1"/>
          <w:lang w:val="en-US"/>
        </w:rPr>
        <w:t>Retrieved from http://www.e-unwto.org/doi/book/10.18111/9789284416875</w:t>
      </w:r>
    </w:p>
    <w:p w14:paraId="6F46438D" w14:textId="77777777" w:rsidR="001803FB" w:rsidRPr="004A0D77" w:rsidRDefault="001803FB" w:rsidP="001803FB">
      <w:pPr>
        <w:widowControl w:val="0"/>
        <w:autoSpaceDE w:val="0"/>
        <w:autoSpaceDN w:val="0"/>
        <w:adjustRightInd w:val="0"/>
        <w:ind w:left="480" w:hanging="480"/>
        <w:rPr>
          <w:noProof/>
          <w:color w:val="000000" w:themeColor="text1"/>
        </w:rPr>
      </w:pPr>
      <w:r w:rsidRPr="004A0D77">
        <w:rPr>
          <w:noProof/>
          <w:color w:val="000000" w:themeColor="text1"/>
          <w:lang w:val="en-US"/>
        </w:rPr>
        <w:t xml:space="preserve">Páramo, D., Contreras, M., &amp; Arenas, J. (2010). </w:t>
      </w:r>
      <w:r w:rsidRPr="004A0D77">
        <w:rPr>
          <w:i/>
          <w:iCs/>
          <w:noProof/>
          <w:color w:val="000000" w:themeColor="text1"/>
        </w:rPr>
        <w:t>Canal Tradicional en Barranquilla: Evolución y prácticas comerciales. Libro. .</w:t>
      </w:r>
      <w:r w:rsidRPr="004A0D77">
        <w:rPr>
          <w:noProof/>
          <w:color w:val="000000" w:themeColor="text1"/>
        </w:rPr>
        <w:t xml:space="preserve"> (Ediciones). Barranquilla - Colombia.</w:t>
      </w:r>
    </w:p>
    <w:p w14:paraId="759A664A" w14:textId="77777777" w:rsidR="001803FB" w:rsidRPr="004A0D77" w:rsidRDefault="001803FB" w:rsidP="001803FB">
      <w:pPr>
        <w:widowControl w:val="0"/>
        <w:autoSpaceDE w:val="0"/>
        <w:autoSpaceDN w:val="0"/>
        <w:adjustRightInd w:val="0"/>
        <w:ind w:left="480" w:hanging="480"/>
        <w:rPr>
          <w:noProof/>
          <w:color w:val="000000" w:themeColor="text1"/>
        </w:rPr>
      </w:pPr>
      <w:r w:rsidRPr="004A0D77">
        <w:rPr>
          <w:noProof/>
          <w:color w:val="000000" w:themeColor="text1"/>
        </w:rPr>
        <w:t>Parker, C., &amp; Moreno, A. (2015). Turismo indígena urbano, ¿innovación identitaria? *, 231–246.</w:t>
      </w:r>
    </w:p>
    <w:p w14:paraId="3F531EA4" w14:textId="77777777" w:rsidR="001803FB" w:rsidRPr="004A0D77" w:rsidRDefault="001803FB" w:rsidP="001803FB">
      <w:pPr>
        <w:widowControl w:val="0"/>
        <w:autoSpaceDE w:val="0"/>
        <w:autoSpaceDN w:val="0"/>
        <w:adjustRightInd w:val="0"/>
        <w:ind w:left="480" w:hanging="480"/>
        <w:rPr>
          <w:noProof/>
          <w:color w:val="000000" w:themeColor="text1"/>
        </w:rPr>
      </w:pPr>
      <w:r w:rsidRPr="004A0D77">
        <w:rPr>
          <w:noProof/>
          <w:color w:val="000000" w:themeColor="text1"/>
        </w:rPr>
        <w:t xml:space="preserve">Paz Reverol, C. L. (2000). Revista de Ciencias Sociales ( Ve ) ISSN : 1315-9518 Universidad del Zulia Venezuela Paz Reverol , Carmen Laura Universidad del Zulia Maracaibo , Venezuela Cómo citar el artículo Número completo Más información del artículo Página de la revista en redalyc. </w:t>
      </w:r>
      <w:r w:rsidRPr="004A0D77">
        <w:rPr>
          <w:i/>
          <w:iCs/>
          <w:noProof/>
          <w:color w:val="000000" w:themeColor="text1"/>
        </w:rPr>
        <w:t>Revista de Ciencias Sociales (RCS)</w:t>
      </w:r>
      <w:r w:rsidRPr="004A0D77">
        <w:rPr>
          <w:noProof/>
          <w:color w:val="000000" w:themeColor="text1"/>
        </w:rPr>
        <w:t xml:space="preserve">, </w:t>
      </w:r>
      <w:r w:rsidRPr="004A0D77">
        <w:rPr>
          <w:i/>
          <w:iCs/>
          <w:noProof/>
          <w:color w:val="000000" w:themeColor="text1"/>
        </w:rPr>
        <w:t>4</w:t>
      </w:r>
      <w:r w:rsidRPr="004A0D77">
        <w:rPr>
          <w:noProof/>
          <w:color w:val="000000" w:themeColor="text1"/>
        </w:rPr>
        <w:t>, 399–415.</w:t>
      </w:r>
    </w:p>
    <w:p w14:paraId="72CB59DC" w14:textId="77777777" w:rsidR="001803FB" w:rsidRPr="004A0D77" w:rsidRDefault="001803FB" w:rsidP="001803FB">
      <w:pPr>
        <w:widowControl w:val="0"/>
        <w:autoSpaceDE w:val="0"/>
        <w:autoSpaceDN w:val="0"/>
        <w:adjustRightInd w:val="0"/>
        <w:ind w:left="480" w:hanging="480"/>
        <w:rPr>
          <w:noProof/>
          <w:color w:val="000000" w:themeColor="text1"/>
          <w:lang w:val="en-US"/>
        </w:rPr>
      </w:pPr>
      <w:r w:rsidRPr="004A0D77">
        <w:rPr>
          <w:noProof/>
          <w:color w:val="000000" w:themeColor="text1"/>
        </w:rPr>
        <w:t xml:space="preserve">Perea, R. (2004). </w:t>
      </w:r>
      <w:r w:rsidRPr="004A0D77">
        <w:rPr>
          <w:i/>
          <w:iCs/>
          <w:noProof/>
          <w:color w:val="000000" w:themeColor="text1"/>
        </w:rPr>
        <w:t>La educación para la salud, reto de nuestro tiempo</w:t>
      </w:r>
      <w:r w:rsidRPr="004A0D77">
        <w:rPr>
          <w:noProof/>
          <w:color w:val="000000" w:themeColor="text1"/>
        </w:rPr>
        <w:t xml:space="preserve"> (ediciones). </w:t>
      </w:r>
      <w:r w:rsidRPr="004A0D77">
        <w:rPr>
          <w:noProof/>
          <w:color w:val="000000" w:themeColor="text1"/>
          <w:lang w:val="en-US"/>
        </w:rPr>
        <w:t>España. Retrieved from http://e-spacio.uned.es/revistasuned/index.php/educacionXX1/article/viewFile/361/314</w:t>
      </w:r>
    </w:p>
    <w:p w14:paraId="7E43366B" w14:textId="77777777" w:rsidR="001803FB" w:rsidRPr="004A0D77" w:rsidRDefault="001803FB" w:rsidP="001803FB">
      <w:pPr>
        <w:widowControl w:val="0"/>
        <w:autoSpaceDE w:val="0"/>
        <w:autoSpaceDN w:val="0"/>
        <w:adjustRightInd w:val="0"/>
        <w:ind w:left="480" w:hanging="480"/>
        <w:rPr>
          <w:noProof/>
          <w:color w:val="000000" w:themeColor="text1"/>
        </w:rPr>
      </w:pPr>
      <w:r w:rsidRPr="004A0D77">
        <w:rPr>
          <w:noProof/>
          <w:color w:val="000000" w:themeColor="text1"/>
        </w:rPr>
        <w:t xml:space="preserve">Pereiro, X. (2013). Los efectos del turismo en las culturas indígenas de América Latina. </w:t>
      </w:r>
      <w:r w:rsidRPr="004A0D77">
        <w:rPr>
          <w:i/>
          <w:iCs/>
          <w:noProof/>
          <w:color w:val="000000" w:themeColor="text1"/>
        </w:rPr>
        <w:t>Revista Española de Antropología Americana</w:t>
      </w:r>
      <w:r w:rsidRPr="004A0D77">
        <w:rPr>
          <w:noProof/>
          <w:color w:val="000000" w:themeColor="text1"/>
        </w:rPr>
        <w:t xml:space="preserve">, </w:t>
      </w:r>
      <w:r w:rsidRPr="004A0D77">
        <w:rPr>
          <w:i/>
          <w:iCs/>
          <w:noProof/>
          <w:color w:val="000000" w:themeColor="text1"/>
        </w:rPr>
        <w:t>43</w:t>
      </w:r>
      <w:r w:rsidRPr="004A0D77">
        <w:rPr>
          <w:noProof/>
          <w:color w:val="000000" w:themeColor="text1"/>
        </w:rPr>
        <w:t>, 155–174. http://doi.org/10.5209/rev_REAA.2013.v43.n1.42308</w:t>
      </w:r>
    </w:p>
    <w:p w14:paraId="738B9D7B" w14:textId="6AF488DF" w:rsidR="001803FB" w:rsidRPr="004A0D77" w:rsidRDefault="001803FB" w:rsidP="001803FB">
      <w:pPr>
        <w:widowControl w:val="0"/>
        <w:autoSpaceDE w:val="0"/>
        <w:autoSpaceDN w:val="0"/>
        <w:adjustRightInd w:val="0"/>
        <w:ind w:left="480" w:hanging="480"/>
        <w:rPr>
          <w:noProof/>
          <w:color w:val="000000" w:themeColor="text1"/>
          <w:lang w:val="en-US"/>
        </w:rPr>
      </w:pPr>
      <w:r w:rsidRPr="004A0D77">
        <w:rPr>
          <w:noProof/>
          <w:color w:val="000000" w:themeColor="text1"/>
        </w:rPr>
        <w:t xml:space="preserve">Rojano, Y., Contreras, M., &amp; Mendoza, D. (2016). </w:t>
      </w:r>
      <w:r w:rsidRPr="004A0D77">
        <w:rPr>
          <w:i/>
          <w:iCs/>
          <w:noProof/>
          <w:color w:val="000000" w:themeColor="text1"/>
        </w:rPr>
        <w:t>Prácticas del mercado artesanal de la Etnia Wayúu en Riohacha – La Guajira (Col): Un estudio Etnografico</w:t>
      </w:r>
      <w:r w:rsidRPr="004A0D77">
        <w:rPr>
          <w:noProof/>
          <w:color w:val="000000" w:themeColor="text1"/>
        </w:rPr>
        <w:t xml:space="preserve">. </w:t>
      </w:r>
      <w:r w:rsidR="003F1FC5">
        <w:rPr>
          <w:noProof/>
          <w:color w:val="000000" w:themeColor="text1"/>
          <w:lang w:val="en-US"/>
        </w:rPr>
        <w:t>Barranquilla - Col</w:t>
      </w:r>
      <w:r w:rsidRPr="004A0D77">
        <w:rPr>
          <w:noProof/>
          <w:color w:val="000000" w:themeColor="text1"/>
          <w:lang w:val="en-US"/>
        </w:rPr>
        <w:t>.</w:t>
      </w:r>
    </w:p>
    <w:p w14:paraId="4E256634" w14:textId="77777777" w:rsidR="001803FB" w:rsidRPr="004A0D77" w:rsidRDefault="001803FB" w:rsidP="001803FB">
      <w:pPr>
        <w:widowControl w:val="0"/>
        <w:autoSpaceDE w:val="0"/>
        <w:autoSpaceDN w:val="0"/>
        <w:adjustRightInd w:val="0"/>
        <w:ind w:left="480" w:hanging="480"/>
        <w:rPr>
          <w:noProof/>
          <w:color w:val="000000" w:themeColor="text1"/>
          <w:lang w:val="en-US"/>
        </w:rPr>
      </w:pPr>
      <w:r w:rsidRPr="004A0D77">
        <w:rPr>
          <w:noProof/>
          <w:color w:val="000000" w:themeColor="text1"/>
          <w:lang w:val="en-US"/>
        </w:rPr>
        <w:t>Smith, V. L. (1898). The Anthropopogy of Tourism: Hosts and Guests.</w:t>
      </w:r>
    </w:p>
    <w:p w14:paraId="0BCEAFBC" w14:textId="77777777" w:rsidR="001803FB" w:rsidRPr="004A0D77" w:rsidRDefault="001803FB" w:rsidP="001803FB">
      <w:pPr>
        <w:widowControl w:val="0"/>
        <w:autoSpaceDE w:val="0"/>
        <w:autoSpaceDN w:val="0"/>
        <w:adjustRightInd w:val="0"/>
        <w:ind w:left="480" w:hanging="480"/>
        <w:rPr>
          <w:noProof/>
          <w:color w:val="000000" w:themeColor="text1"/>
        </w:rPr>
      </w:pPr>
      <w:r w:rsidRPr="004A0D77">
        <w:rPr>
          <w:noProof/>
          <w:color w:val="000000" w:themeColor="text1"/>
        </w:rPr>
        <w:t xml:space="preserve">Tovar, M. R., &amp; Ruíz, D. T. M. (2015). La Configuración Identitaria En Los Territorios De Migrantes Internacionales. </w:t>
      </w:r>
      <w:r w:rsidRPr="004A0D77">
        <w:rPr>
          <w:i/>
          <w:iCs/>
          <w:noProof/>
          <w:color w:val="000000" w:themeColor="text1"/>
        </w:rPr>
        <w:t>Península</w:t>
      </w:r>
      <w:r w:rsidRPr="004A0D77">
        <w:rPr>
          <w:noProof/>
          <w:color w:val="000000" w:themeColor="text1"/>
        </w:rPr>
        <w:t xml:space="preserve">, </w:t>
      </w:r>
      <w:r w:rsidRPr="004A0D77">
        <w:rPr>
          <w:i/>
          <w:iCs/>
          <w:noProof/>
          <w:color w:val="000000" w:themeColor="text1"/>
        </w:rPr>
        <w:t>10</w:t>
      </w:r>
      <w:r w:rsidRPr="004A0D77">
        <w:rPr>
          <w:noProof/>
          <w:color w:val="000000" w:themeColor="text1"/>
        </w:rPr>
        <w:t>(2), 117–133. http://doi.org/10.1016/j.pnsla.2015.08.006</w:t>
      </w:r>
    </w:p>
    <w:p w14:paraId="133886C8" w14:textId="77777777" w:rsidR="001803FB" w:rsidRPr="004A0D77" w:rsidRDefault="001803FB" w:rsidP="001803FB">
      <w:pPr>
        <w:widowControl w:val="0"/>
        <w:autoSpaceDE w:val="0"/>
        <w:autoSpaceDN w:val="0"/>
        <w:adjustRightInd w:val="0"/>
        <w:ind w:left="480" w:hanging="480"/>
        <w:rPr>
          <w:noProof/>
          <w:color w:val="000000" w:themeColor="text1"/>
          <w:lang w:val="en-US"/>
        </w:rPr>
      </w:pPr>
      <w:r w:rsidRPr="004A0D77">
        <w:rPr>
          <w:noProof/>
          <w:color w:val="000000" w:themeColor="text1"/>
        </w:rPr>
        <w:t xml:space="preserve">Urrego, M. (2010). Tardes de rancheria: ¿una cultura imaginada? </w:t>
      </w:r>
      <w:r w:rsidRPr="004A0D77">
        <w:rPr>
          <w:i/>
          <w:iCs/>
          <w:noProof/>
          <w:color w:val="000000" w:themeColor="text1"/>
          <w:lang w:val="en-US"/>
        </w:rPr>
        <w:t>Memorias</w:t>
      </w:r>
      <w:r w:rsidRPr="004A0D77">
        <w:rPr>
          <w:noProof/>
          <w:color w:val="000000" w:themeColor="text1"/>
          <w:lang w:val="en-US"/>
        </w:rPr>
        <w:t>.</w:t>
      </w:r>
    </w:p>
    <w:p w14:paraId="7A976511" w14:textId="77777777" w:rsidR="001803FB" w:rsidRPr="004A0D77" w:rsidRDefault="001803FB" w:rsidP="001803FB">
      <w:pPr>
        <w:widowControl w:val="0"/>
        <w:autoSpaceDE w:val="0"/>
        <w:autoSpaceDN w:val="0"/>
        <w:adjustRightInd w:val="0"/>
        <w:ind w:left="480" w:hanging="480"/>
        <w:rPr>
          <w:noProof/>
          <w:color w:val="000000" w:themeColor="text1"/>
          <w:lang w:val="en-US"/>
        </w:rPr>
      </w:pPr>
      <w:r w:rsidRPr="004A0D77">
        <w:rPr>
          <w:noProof/>
          <w:color w:val="000000" w:themeColor="text1"/>
          <w:lang w:val="en-US"/>
        </w:rPr>
        <w:t xml:space="preserve">Van den Berghe. (1994). </w:t>
      </w:r>
      <w:r w:rsidRPr="004A0D77">
        <w:rPr>
          <w:i/>
          <w:iCs/>
          <w:noProof/>
          <w:color w:val="000000" w:themeColor="text1"/>
          <w:lang w:val="en-US"/>
        </w:rPr>
        <w:t>The quest for the other: ethnic tourism in San Cristóbal, Mexico.</w:t>
      </w:r>
    </w:p>
    <w:p w14:paraId="1D0D4925" w14:textId="77777777" w:rsidR="001803FB" w:rsidRPr="004A0D77" w:rsidRDefault="001803FB" w:rsidP="001803FB">
      <w:pPr>
        <w:widowControl w:val="0"/>
        <w:autoSpaceDE w:val="0"/>
        <w:autoSpaceDN w:val="0"/>
        <w:adjustRightInd w:val="0"/>
        <w:ind w:left="480" w:hanging="480"/>
        <w:rPr>
          <w:noProof/>
          <w:color w:val="000000" w:themeColor="text1"/>
        </w:rPr>
      </w:pPr>
      <w:r w:rsidRPr="004A0D77">
        <w:rPr>
          <w:noProof/>
          <w:color w:val="000000" w:themeColor="text1"/>
        </w:rPr>
        <w:t>Vasquez, s; Correa, H. (1991). 500 años de autoafirmacion sal territorio y cultura.pdf.</w:t>
      </w:r>
    </w:p>
    <w:p w14:paraId="21BBCF9C" w14:textId="77777777" w:rsidR="001803FB" w:rsidRPr="004A0D77" w:rsidRDefault="001803FB" w:rsidP="001803FB">
      <w:pPr>
        <w:widowControl w:val="0"/>
        <w:autoSpaceDE w:val="0"/>
        <w:autoSpaceDN w:val="0"/>
        <w:adjustRightInd w:val="0"/>
        <w:ind w:left="480" w:hanging="480"/>
        <w:rPr>
          <w:noProof/>
          <w:color w:val="000000" w:themeColor="text1"/>
          <w:lang w:val="en-US"/>
        </w:rPr>
      </w:pPr>
      <w:r w:rsidRPr="004A0D77">
        <w:rPr>
          <w:noProof/>
          <w:color w:val="000000" w:themeColor="text1"/>
          <w:lang w:val="en-US"/>
        </w:rPr>
        <w:t xml:space="preserve">Yang, L., &amp; Wall, G. (2009). Ethnic tourism: A framework and an application. </w:t>
      </w:r>
      <w:r w:rsidRPr="004A0D77">
        <w:rPr>
          <w:i/>
          <w:iCs/>
          <w:noProof/>
          <w:color w:val="000000" w:themeColor="text1"/>
          <w:lang w:val="en-US"/>
        </w:rPr>
        <w:t>Tourism Management</w:t>
      </w:r>
      <w:r w:rsidRPr="004A0D77">
        <w:rPr>
          <w:noProof/>
          <w:color w:val="000000" w:themeColor="text1"/>
          <w:lang w:val="en-US"/>
        </w:rPr>
        <w:t xml:space="preserve">, </w:t>
      </w:r>
      <w:r w:rsidRPr="004A0D77">
        <w:rPr>
          <w:i/>
          <w:iCs/>
          <w:noProof/>
          <w:color w:val="000000" w:themeColor="text1"/>
          <w:lang w:val="en-US"/>
        </w:rPr>
        <w:t>30</w:t>
      </w:r>
      <w:r w:rsidRPr="004A0D77">
        <w:rPr>
          <w:noProof/>
          <w:color w:val="000000" w:themeColor="text1"/>
          <w:lang w:val="en-US"/>
        </w:rPr>
        <w:t>(4), 559–570. http://doi.org/10.1016/j.tourman.2008.09.008</w:t>
      </w:r>
    </w:p>
    <w:p w14:paraId="3D184BDE" w14:textId="77777777" w:rsidR="001803FB" w:rsidRPr="004A0D77" w:rsidRDefault="001803FB" w:rsidP="001803FB">
      <w:pPr>
        <w:widowControl w:val="0"/>
        <w:autoSpaceDE w:val="0"/>
        <w:autoSpaceDN w:val="0"/>
        <w:adjustRightInd w:val="0"/>
        <w:ind w:left="480" w:hanging="480"/>
        <w:rPr>
          <w:noProof/>
          <w:color w:val="000000" w:themeColor="text1"/>
          <w:lang w:val="en-US"/>
        </w:rPr>
      </w:pPr>
      <w:r w:rsidRPr="004A0D77">
        <w:rPr>
          <w:noProof/>
          <w:color w:val="000000" w:themeColor="text1"/>
          <w:lang w:val="en-US"/>
        </w:rPr>
        <w:t xml:space="preserve">Yang, L., Wall, G., &amp; Smith, S. L. J. (2008). Ethnic tourism development:. Chinese Government Perspectives. </w:t>
      </w:r>
      <w:r w:rsidRPr="004A0D77">
        <w:rPr>
          <w:i/>
          <w:iCs/>
          <w:noProof/>
          <w:color w:val="000000" w:themeColor="text1"/>
          <w:lang w:val="en-US"/>
        </w:rPr>
        <w:t>Annals of Tourism Research</w:t>
      </w:r>
      <w:r w:rsidRPr="004A0D77">
        <w:rPr>
          <w:noProof/>
          <w:color w:val="000000" w:themeColor="text1"/>
          <w:lang w:val="en-US"/>
        </w:rPr>
        <w:t xml:space="preserve">, </w:t>
      </w:r>
      <w:r w:rsidRPr="004A0D77">
        <w:rPr>
          <w:i/>
          <w:iCs/>
          <w:noProof/>
          <w:color w:val="000000" w:themeColor="text1"/>
          <w:lang w:val="en-US"/>
        </w:rPr>
        <w:t>35</w:t>
      </w:r>
      <w:r w:rsidRPr="004A0D77">
        <w:rPr>
          <w:noProof/>
          <w:color w:val="000000" w:themeColor="text1"/>
          <w:lang w:val="en-US"/>
        </w:rPr>
        <w:t>(3), 751–771. http://doi.org/10.1016/j.annals.2008.06.005</w:t>
      </w:r>
    </w:p>
    <w:p w14:paraId="68236654" w14:textId="77777777" w:rsidR="001803FB" w:rsidRPr="004A0D77" w:rsidRDefault="001803FB" w:rsidP="001803FB">
      <w:pPr>
        <w:widowControl w:val="0"/>
        <w:autoSpaceDE w:val="0"/>
        <w:autoSpaceDN w:val="0"/>
        <w:adjustRightInd w:val="0"/>
        <w:ind w:left="480" w:hanging="480"/>
        <w:rPr>
          <w:color w:val="000000" w:themeColor="text1"/>
          <w:lang w:val="en-US"/>
        </w:rPr>
      </w:pPr>
      <w:r w:rsidRPr="004A0D77">
        <w:rPr>
          <w:color w:val="000000" w:themeColor="text1"/>
          <w:lang w:val="es-ES"/>
        </w:rPr>
        <w:lastRenderedPageBreak/>
        <w:fldChar w:fldCharType="end"/>
      </w:r>
      <w:bookmarkStart w:id="19" w:name="_Toc467319781"/>
    </w:p>
    <w:p w14:paraId="311986D3" w14:textId="77777777" w:rsidR="001803FB" w:rsidRPr="004A0D77" w:rsidRDefault="001803FB" w:rsidP="001803FB">
      <w:pPr>
        <w:widowControl w:val="0"/>
        <w:autoSpaceDE w:val="0"/>
        <w:autoSpaceDN w:val="0"/>
        <w:adjustRightInd w:val="0"/>
        <w:rPr>
          <w:b/>
          <w:color w:val="000000" w:themeColor="text1"/>
          <w:lang w:val="en-US"/>
        </w:rPr>
      </w:pPr>
    </w:p>
    <w:bookmarkEnd w:id="19"/>
    <w:p w14:paraId="3B560C1E" w14:textId="77777777" w:rsidR="00E25316" w:rsidRPr="004A0D77" w:rsidRDefault="00E25316"/>
    <w:sectPr w:rsidR="00E25316" w:rsidRPr="004A0D77" w:rsidSect="007A38F6">
      <w:headerReference w:type="default" r:id="rId7"/>
      <w:headerReference w:type="first" r:id="rId8"/>
      <w:footerReference w:type="first" r:id="rId9"/>
      <w:type w:val="continuous"/>
      <w:pgSz w:w="12242" w:h="15842" w:code="1"/>
      <w:pgMar w:top="839" w:right="1610" w:bottom="1559" w:left="1616" w:header="709" w:footer="60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2AB1D" w14:textId="77777777" w:rsidR="00382E84" w:rsidRDefault="00382E84" w:rsidP="001803FB">
      <w:r>
        <w:separator/>
      </w:r>
    </w:p>
  </w:endnote>
  <w:endnote w:type="continuationSeparator" w:id="0">
    <w:p w14:paraId="451C4137" w14:textId="77777777" w:rsidR="00382E84" w:rsidRDefault="00382E84" w:rsidP="0018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Humanst521 BT">
    <w:altName w:val="Lucida Sans Unicode"/>
    <w:charset w:val="00"/>
    <w:family w:val="swiss"/>
    <w:pitch w:val="variable"/>
    <w:sig w:usb0="00000001" w:usb1="00000000" w:usb2="00000000" w:usb3="00000000" w:csb0="0000001B"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Garamond 3 LT Std">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5C4F2" w14:textId="77777777" w:rsidR="007A38F6" w:rsidRPr="00DD1F20" w:rsidRDefault="007A38F6" w:rsidP="007A38F6">
    <w:pPr>
      <w:pStyle w:val="Piedepgina"/>
      <w:spacing w:after="0"/>
      <w:ind w:right="-141"/>
      <w:jc w:val="right"/>
      <w:rPr>
        <w:rFonts w:ascii="Arial" w:hAnsi="Arial" w:cs="Arial"/>
        <w:color w:val="5F5F5F"/>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70A1D" w14:textId="77777777" w:rsidR="00382E84" w:rsidRDefault="00382E84" w:rsidP="001803FB">
      <w:r>
        <w:separator/>
      </w:r>
    </w:p>
  </w:footnote>
  <w:footnote w:type="continuationSeparator" w:id="0">
    <w:p w14:paraId="4C29C56C" w14:textId="77777777" w:rsidR="00382E84" w:rsidRDefault="00382E84" w:rsidP="001803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6A2B1" w14:textId="53CFDBA2" w:rsidR="007A38F6" w:rsidRDefault="007A38F6" w:rsidP="007A38F6">
    <w:pPr>
      <w:pStyle w:val="Encabezado"/>
      <w:tabs>
        <w:tab w:val="clear" w:pos="4252"/>
        <w:tab w:val="clear" w:pos="8504"/>
      </w:tabs>
      <w:spacing w:before="60" w:after="60"/>
      <w:ind w:right="80"/>
      <w:rPr>
        <w:b/>
        <w:sz w:val="18"/>
        <w:szCs w:val="18"/>
      </w:rPr>
    </w:pPr>
  </w:p>
  <w:p w14:paraId="129C49F4" w14:textId="77777777" w:rsidR="007A38F6" w:rsidRDefault="007A38F6" w:rsidP="007A38F6">
    <w:pPr>
      <w:pStyle w:val="Encabezado"/>
      <w:spacing w:after="0"/>
      <w:rPr>
        <w:b/>
        <w:sz w:val="16"/>
        <w:szCs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00E12" w14:textId="77777777" w:rsidR="007A38F6" w:rsidRPr="00DD1F20" w:rsidRDefault="007A38F6" w:rsidP="007A38F6">
    <w:pPr>
      <w:pStyle w:val="Encabezado"/>
      <w:spacing w:after="0"/>
      <w:rPr>
        <w:szCs w:val="22"/>
      </w:rPr>
    </w:pPr>
    <w:r w:rsidRPr="00DD1F20">
      <w:rPr>
        <w:noProof/>
        <w:sz w:val="16"/>
        <w:lang w:val="es-ES_tradnl" w:eastAsia="es-ES_tradnl"/>
      </w:rPr>
      <mc:AlternateContent>
        <mc:Choice Requires="wps">
          <w:drawing>
            <wp:anchor distT="0" distB="0" distL="114300" distR="114300" simplePos="0" relativeHeight="251662336" behindDoc="0" locked="0" layoutInCell="1" allowOverlap="1" wp14:anchorId="33A1A091" wp14:editId="5A99ABE6">
              <wp:simplePos x="0" y="0"/>
              <wp:positionH relativeFrom="page">
                <wp:posOffset>1270</wp:posOffset>
              </wp:positionH>
              <wp:positionV relativeFrom="page">
                <wp:posOffset>1243330</wp:posOffset>
              </wp:positionV>
              <wp:extent cx="107950" cy="899795"/>
              <wp:effectExtent l="1270" t="0" r="5080" b="3175"/>
              <wp:wrapNone/>
              <wp:docPr id="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8997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0938F" id="Rectangle_x0020_91" o:spid="_x0000_s1026" style="position:absolute;margin-left:.1pt;margin-top:97.9pt;width:8.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" fillcolor="silver" stroked="f">
              <w10:wrap anchorx="page" anchory="page"/>
            </v:rect>
          </w:pict>
        </mc:Fallback>
      </mc:AlternateContent>
    </w:r>
    <w:r w:rsidRPr="00DD1F20">
      <w:rPr>
        <w:noProof/>
        <w:sz w:val="18"/>
        <w:szCs w:val="18"/>
        <w:lang w:val="es-ES_tradnl" w:eastAsia="es-ES_tradnl"/>
      </w:rPr>
      <mc:AlternateContent>
        <mc:Choice Requires="wps">
          <w:drawing>
            <wp:anchor distT="0" distB="0" distL="114300" distR="114300" simplePos="0" relativeHeight="251661312" behindDoc="0" locked="0" layoutInCell="1" allowOverlap="1" wp14:anchorId="54646C7F" wp14:editId="2BA32B17">
              <wp:simplePos x="0" y="0"/>
              <wp:positionH relativeFrom="page">
                <wp:posOffset>0</wp:posOffset>
              </wp:positionH>
              <wp:positionV relativeFrom="page">
                <wp:posOffset>1243330</wp:posOffset>
              </wp:positionV>
              <wp:extent cx="107950" cy="899795"/>
              <wp:effectExtent l="0" t="0" r="6350" b="3175"/>
              <wp:wrapNone/>
              <wp:docPr id="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8997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BCF72" id="Rectangle_x0020_89" o:spid="_x0000_s1026" style="position:absolute;margin-left:0;margin-top:97.9pt;width:8.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" fillcolor="silver" stroked="f">
              <w10:wrap anchorx="page" anchory="page"/>
            </v:rect>
          </w:pict>
        </mc:Fallback>
      </mc:AlternateContent>
    </w:r>
    <w:r w:rsidRPr="00DD1F20">
      <w:rPr>
        <w:noProof/>
        <w:lang w:val="es-ES_tradnl" w:eastAsia="es-ES_tradnl"/>
      </w:rPr>
      <w:drawing>
        <wp:anchor distT="0" distB="0" distL="114300" distR="114300" simplePos="0" relativeHeight="251659264" behindDoc="1" locked="0" layoutInCell="1" allowOverlap="1" wp14:anchorId="2DB8DADD" wp14:editId="27B10B08">
          <wp:simplePos x="0" y="0"/>
          <wp:positionH relativeFrom="column">
            <wp:posOffset>8649970</wp:posOffset>
          </wp:positionH>
          <wp:positionV relativeFrom="page">
            <wp:posOffset>442595</wp:posOffset>
          </wp:positionV>
          <wp:extent cx="683895" cy="1398905"/>
          <wp:effectExtent l="0" t="0" r="1905" b="0"/>
          <wp:wrapNone/>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1398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0168512E"/>
    <w:lvl w:ilvl="0">
      <w:start w:val="1"/>
      <w:numFmt w:val="decimal"/>
      <w:pStyle w:val="Listaconnmeros"/>
      <w:lvlText w:val="[%1]"/>
      <w:lvlJc w:val="left"/>
      <w:pPr>
        <w:tabs>
          <w:tab w:val="num" w:pos="1209"/>
        </w:tabs>
        <w:ind w:left="1209" w:hanging="360"/>
      </w:pPr>
      <w:rPr>
        <w:rFont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911214"/>
    <w:multiLevelType w:val="hybridMultilevel"/>
    <w:tmpl w:val="9A3C8A62"/>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07F9028E"/>
    <w:multiLevelType w:val="hybridMultilevel"/>
    <w:tmpl w:val="6CA0BB82"/>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8567F08"/>
    <w:multiLevelType w:val="hybridMultilevel"/>
    <w:tmpl w:val="3346938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08E60C01"/>
    <w:multiLevelType w:val="hybridMultilevel"/>
    <w:tmpl w:val="73ECA730"/>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098B5C3F"/>
    <w:multiLevelType w:val="hybridMultilevel"/>
    <w:tmpl w:val="71CE890E"/>
    <w:lvl w:ilvl="0" w:tplc="BA528042">
      <w:start w:val="1"/>
      <w:numFmt w:val="bullet"/>
      <w:pStyle w:val="parrafovietado1"/>
      <w:lvlText w:val=""/>
      <w:lvlJc w:val="left"/>
      <w:pPr>
        <w:tabs>
          <w:tab w:val="num" w:pos="360"/>
        </w:tabs>
        <w:ind w:left="340" w:hanging="340"/>
      </w:pPr>
      <w:rPr>
        <w:rFonts w:ascii="Wingdings" w:hAnsi="Wingdings" w:cs="Courier New" w:hint="default"/>
      </w:rPr>
    </w:lvl>
    <w:lvl w:ilvl="1" w:tplc="0C0A0003">
      <w:start w:val="1"/>
      <w:numFmt w:val="bullet"/>
      <w:lvlText w:val="o"/>
      <w:lvlJc w:val="left"/>
      <w:pPr>
        <w:tabs>
          <w:tab w:val="num" w:pos="1440"/>
        </w:tabs>
        <w:ind w:left="1440" w:hanging="360"/>
      </w:pPr>
      <w:rPr>
        <w:rFonts w:ascii="Courier New" w:hAnsi="Courier New" w:cs="Arial" w:hint="default"/>
      </w:rPr>
    </w:lvl>
    <w:lvl w:ilvl="2" w:tplc="0C0A0005">
      <w:start w:val="1"/>
      <w:numFmt w:val="bullet"/>
      <w:lvlText w:val=""/>
      <w:lvlJc w:val="left"/>
      <w:pPr>
        <w:tabs>
          <w:tab w:val="num" w:pos="2160"/>
        </w:tabs>
        <w:ind w:left="2160" w:hanging="360"/>
      </w:pPr>
      <w:rPr>
        <w:rFonts w:ascii="Wingdings" w:hAnsi="Wingdings" w:cs="Courier New" w:hint="default"/>
      </w:rPr>
    </w:lvl>
    <w:lvl w:ilvl="3" w:tplc="0C0A0001">
      <w:start w:val="1"/>
      <w:numFmt w:val="bullet"/>
      <w:lvlText w:val=""/>
      <w:lvlJc w:val="left"/>
      <w:pPr>
        <w:tabs>
          <w:tab w:val="num" w:pos="2880"/>
        </w:tabs>
        <w:ind w:left="2880" w:hanging="360"/>
      </w:pPr>
      <w:rPr>
        <w:rFonts w:ascii="Symbol" w:hAnsi="Symbol" w:cs="Humanst521 BT" w:hint="default"/>
      </w:rPr>
    </w:lvl>
    <w:lvl w:ilvl="4" w:tplc="0C0A0003">
      <w:start w:val="1"/>
      <w:numFmt w:val="bullet"/>
      <w:lvlText w:val="o"/>
      <w:lvlJc w:val="left"/>
      <w:pPr>
        <w:tabs>
          <w:tab w:val="num" w:pos="3600"/>
        </w:tabs>
        <w:ind w:left="3600" w:hanging="360"/>
      </w:pPr>
      <w:rPr>
        <w:rFonts w:ascii="Courier New" w:hAnsi="Courier New" w:cs="Arial" w:hint="default"/>
      </w:rPr>
    </w:lvl>
    <w:lvl w:ilvl="5" w:tplc="0C0A0005">
      <w:start w:val="1"/>
      <w:numFmt w:val="bullet"/>
      <w:lvlText w:val=""/>
      <w:lvlJc w:val="left"/>
      <w:pPr>
        <w:tabs>
          <w:tab w:val="num" w:pos="4320"/>
        </w:tabs>
        <w:ind w:left="4320" w:hanging="360"/>
      </w:pPr>
      <w:rPr>
        <w:rFonts w:ascii="Wingdings" w:hAnsi="Wingdings" w:cs="Courier New" w:hint="default"/>
      </w:rPr>
    </w:lvl>
    <w:lvl w:ilvl="6" w:tplc="0C0A0001">
      <w:start w:val="1"/>
      <w:numFmt w:val="bullet"/>
      <w:lvlText w:val=""/>
      <w:lvlJc w:val="left"/>
      <w:pPr>
        <w:tabs>
          <w:tab w:val="num" w:pos="5040"/>
        </w:tabs>
        <w:ind w:left="5040" w:hanging="360"/>
      </w:pPr>
      <w:rPr>
        <w:rFonts w:ascii="Symbol" w:hAnsi="Symbol" w:cs="Humanst521 BT" w:hint="default"/>
      </w:rPr>
    </w:lvl>
    <w:lvl w:ilvl="7" w:tplc="0C0A0003">
      <w:start w:val="1"/>
      <w:numFmt w:val="bullet"/>
      <w:lvlText w:val="o"/>
      <w:lvlJc w:val="left"/>
      <w:pPr>
        <w:tabs>
          <w:tab w:val="num" w:pos="5760"/>
        </w:tabs>
        <w:ind w:left="5760" w:hanging="360"/>
      </w:pPr>
      <w:rPr>
        <w:rFonts w:ascii="Courier New" w:hAnsi="Courier New" w:cs="Arial" w:hint="default"/>
      </w:rPr>
    </w:lvl>
    <w:lvl w:ilvl="8" w:tplc="0C0A0005">
      <w:start w:val="1"/>
      <w:numFmt w:val="bullet"/>
      <w:lvlText w:val=""/>
      <w:lvlJc w:val="left"/>
      <w:pPr>
        <w:tabs>
          <w:tab w:val="num" w:pos="6480"/>
        </w:tabs>
        <w:ind w:left="6480" w:hanging="360"/>
      </w:pPr>
      <w:rPr>
        <w:rFonts w:ascii="Wingdings" w:hAnsi="Wingdings" w:cs="Courier New" w:hint="default"/>
      </w:rPr>
    </w:lvl>
  </w:abstractNum>
  <w:abstractNum w:abstractNumId="7">
    <w:nsid w:val="0A7E3E34"/>
    <w:multiLevelType w:val="hybridMultilevel"/>
    <w:tmpl w:val="44E8F0BA"/>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0FAB579A"/>
    <w:multiLevelType w:val="hybridMultilevel"/>
    <w:tmpl w:val="0DC80B92"/>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9">
    <w:nsid w:val="10025B25"/>
    <w:multiLevelType w:val="multilevel"/>
    <w:tmpl w:val="885A5E58"/>
    <w:lvl w:ilvl="0">
      <w:start w:val="2"/>
      <w:numFmt w:val="decimal"/>
      <w:lvlText w:val="%1."/>
      <w:lvlJc w:val="left"/>
      <w:pPr>
        <w:ind w:left="510" w:hanging="51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102644D7"/>
    <w:multiLevelType w:val="hybridMultilevel"/>
    <w:tmpl w:val="3CC272BC"/>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27B29E6"/>
    <w:multiLevelType w:val="multilevel"/>
    <w:tmpl w:val="D69A7BAE"/>
    <w:lvl w:ilvl="0">
      <w:start w:val="1"/>
      <w:numFmt w:val="decimal"/>
      <w:pStyle w:val="Nivel1"/>
      <w:lvlText w:val="%1."/>
      <w:lvlJc w:val="left"/>
      <w:pPr>
        <w:tabs>
          <w:tab w:val="num" w:pos="360"/>
        </w:tabs>
        <w:ind w:left="0" w:firstLine="0"/>
      </w:pPr>
    </w:lvl>
    <w:lvl w:ilvl="1">
      <w:start w:val="1"/>
      <w:numFmt w:val="decimal"/>
      <w:pStyle w:val="Nivel2"/>
      <w:lvlText w:val="%1.%2"/>
      <w:lvlJc w:val="left"/>
      <w:pPr>
        <w:tabs>
          <w:tab w:val="num" w:pos="720"/>
        </w:tabs>
        <w:ind w:left="0" w:firstLine="0"/>
      </w:pPr>
    </w:lvl>
    <w:lvl w:ilvl="2">
      <w:start w:val="1"/>
      <w:numFmt w:val="decimal"/>
      <w:pStyle w:val="Nivel3"/>
      <w:lvlText w:val="%1.%2.%3"/>
      <w:lvlJc w:val="left"/>
      <w:pPr>
        <w:tabs>
          <w:tab w:val="num" w:pos="720"/>
        </w:tabs>
        <w:ind w:left="0" w:firstLine="0"/>
      </w:pPr>
    </w:lvl>
    <w:lvl w:ilvl="3">
      <w:start w:val="1"/>
      <w:numFmt w:val="lowerLetter"/>
      <w:pStyle w:val="Nivel4"/>
      <w:lvlText w:val="%4."/>
      <w:lvlJc w:val="left"/>
      <w:pPr>
        <w:tabs>
          <w:tab w:val="num" w:pos="360"/>
        </w:tabs>
        <w:ind w:left="0" w:firstLine="0"/>
      </w:pPr>
    </w:lvl>
    <w:lvl w:ilvl="4">
      <w:start w:val="1"/>
      <w:numFmt w:val="bullet"/>
      <w:pStyle w:val="Nivel5"/>
      <w:lvlText w:val=""/>
      <w:lvlJc w:val="left"/>
      <w:pPr>
        <w:tabs>
          <w:tab w:val="num" w:pos="360"/>
        </w:tabs>
        <w:ind w:left="0" w:firstLine="0"/>
      </w:pPr>
      <w:rPr>
        <w:rFonts w:ascii="Symbol" w:hAnsi="Symbol" w:hint="default"/>
      </w:rPr>
    </w:lvl>
    <w:lvl w:ilvl="5">
      <w:start w:val="1"/>
      <w:numFmt w:val="none"/>
      <w:lvlText w:val="%1.%2.%3.%4.%5.%6"/>
      <w:lvlJc w:val="left"/>
      <w:pPr>
        <w:tabs>
          <w:tab w:val="num" w:pos="1440"/>
        </w:tabs>
        <w:ind w:left="0" w:firstLine="0"/>
      </w:pPr>
    </w:lvl>
    <w:lvl w:ilvl="6">
      <w:start w:val="1"/>
      <w:numFmt w:val="none"/>
      <w:lvlText w:val="%1.%2.%3.%4.%5.%6.%7"/>
      <w:lvlJc w:val="left"/>
      <w:pPr>
        <w:tabs>
          <w:tab w:val="num" w:pos="1440"/>
        </w:tabs>
        <w:ind w:left="1296" w:hanging="1296"/>
      </w:pPr>
    </w:lvl>
    <w:lvl w:ilvl="7">
      <w:start w:val="1"/>
      <w:numFmt w:val="none"/>
      <w:lvlText w:val="%1.%2.%3.%4.%5.%6.%7.%8"/>
      <w:lvlJc w:val="left"/>
      <w:pPr>
        <w:tabs>
          <w:tab w:val="num" w:pos="1800"/>
        </w:tabs>
        <w:ind w:left="1440" w:hanging="1440"/>
      </w:pPr>
    </w:lvl>
    <w:lvl w:ilvl="8">
      <w:start w:val="1"/>
      <w:numFmt w:val="none"/>
      <w:lvlText w:val="%1.%2.%3.%4.%5.%6.%7.%8.%9"/>
      <w:lvlJc w:val="left"/>
      <w:pPr>
        <w:tabs>
          <w:tab w:val="num" w:pos="1800"/>
        </w:tabs>
        <w:ind w:left="1584" w:hanging="1584"/>
      </w:pPr>
    </w:lvl>
  </w:abstractNum>
  <w:abstractNum w:abstractNumId="12">
    <w:nsid w:val="16225B57"/>
    <w:multiLevelType w:val="singleLevel"/>
    <w:tmpl w:val="4170E980"/>
    <w:lvl w:ilvl="0">
      <w:start w:val="1"/>
      <w:numFmt w:val="decimal"/>
      <w:pStyle w:val="EstiloXdelestilo132"/>
      <w:lvlText w:val="%1"/>
      <w:lvlJc w:val="left"/>
      <w:pPr>
        <w:tabs>
          <w:tab w:val="num" w:pos="397"/>
        </w:tabs>
        <w:ind w:left="397" w:hanging="397"/>
      </w:pPr>
      <w:rPr>
        <w:rFonts w:ascii="Times New Roman" w:hAnsi="Times New Roman" w:hint="default"/>
        <w:b/>
        <w:i w:val="0"/>
        <w:color w:val="auto"/>
        <w:sz w:val="18"/>
      </w:rPr>
    </w:lvl>
  </w:abstractNum>
  <w:abstractNum w:abstractNumId="13">
    <w:nsid w:val="182210C1"/>
    <w:multiLevelType w:val="multilevel"/>
    <w:tmpl w:val="B41650E2"/>
    <w:lvl w:ilvl="0">
      <w:start w:val="1"/>
      <w:numFmt w:val="decimal"/>
      <w:pStyle w:val="ttuloX"/>
      <w:lvlText w:val="%1."/>
      <w:lvlJc w:val="left"/>
      <w:pPr>
        <w:tabs>
          <w:tab w:val="num" w:pos="480"/>
        </w:tabs>
        <w:ind w:left="480" w:hanging="360"/>
      </w:pPr>
      <w:rPr>
        <w:rFonts w:ascii="Humanst521 BT" w:hAnsi="Humanst521 BT" w:hint="default"/>
        <w:b/>
        <w:i w:val="0"/>
        <w:caps/>
        <w:sz w:val="24"/>
        <w:szCs w:val="24"/>
      </w:rPr>
    </w:lvl>
    <w:lvl w:ilvl="1">
      <w:start w:val="1"/>
      <w:numFmt w:val="decimal"/>
      <w:lvlText w:val="%2."/>
      <w:lvlJc w:val="left"/>
      <w:pPr>
        <w:tabs>
          <w:tab w:val="num" w:pos="360"/>
        </w:tabs>
        <w:ind w:left="360" w:hanging="360"/>
      </w:pPr>
      <w:rPr>
        <w:rFonts w:hint="default"/>
        <w:b/>
        <w:i w:val="0"/>
        <w:caps/>
        <w:sz w:val="24"/>
        <w:szCs w:val="24"/>
      </w:rPr>
    </w:lvl>
    <w:lvl w:ilvl="2">
      <w:start w:val="1"/>
      <w:numFmt w:val="decimal"/>
      <w:pStyle w:val="tituloxxx"/>
      <w:lvlText w:val="a.%3"/>
      <w:lvlJc w:val="left"/>
      <w:pPr>
        <w:tabs>
          <w:tab w:val="num" w:pos="851"/>
        </w:tabs>
        <w:ind w:left="851" w:hanging="851"/>
      </w:pPr>
      <w:rPr>
        <w:rFonts w:ascii="Humanst521 BT" w:hAnsi="Humanst521 BT" w:hint="default"/>
        <w:b/>
        <w:i/>
        <w:caps/>
        <w:sz w:val="24"/>
        <w:szCs w:val="24"/>
      </w:rPr>
    </w:lvl>
    <w:lvl w:ilvl="3">
      <w:start w:val="1"/>
      <w:numFmt w:val="decimal"/>
      <w:pStyle w:val="tituloXXXX"/>
      <w:lvlText w:val="%1.%2.%3.%4"/>
      <w:lvlJc w:val="left"/>
      <w:pPr>
        <w:tabs>
          <w:tab w:val="num" w:pos="907"/>
        </w:tabs>
        <w:ind w:left="907" w:hanging="907"/>
      </w:pPr>
      <w:rPr>
        <w:rFonts w:ascii="Times New Roman" w:hAnsi="Times New Roman" w:hint="default"/>
        <w:b/>
        <w:i w:val="0"/>
        <w:sz w:val="24"/>
      </w:rPr>
    </w:lvl>
    <w:lvl w:ilvl="4">
      <w:start w:val="1"/>
      <w:numFmt w:val="decimal"/>
      <w:lvlText w:val="%1.%2.%3.%4.%5"/>
      <w:lvlJc w:val="left"/>
      <w:pPr>
        <w:tabs>
          <w:tab w:val="num" w:pos="1089"/>
        </w:tabs>
        <w:ind w:left="1089" w:hanging="1080"/>
      </w:pPr>
      <w:rPr>
        <w:rFonts w:hint="default"/>
      </w:rPr>
    </w:lvl>
    <w:lvl w:ilvl="5">
      <w:start w:val="1"/>
      <w:numFmt w:val="decimal"/>
      <w:lvlText w:val="%1.%2.%3.%4.%5.%6"/>
      <w:lvlJc w:val="left"/>
      <w:pPr>
        <w:tabs>
          <w:tab w:val="num" w:pos="1092"/>
        </w:tabs>
        <w:ind w:left="1092" w:hanging="1080"/>
      </w:pPr>
      <w:rPr>
        <w:rFonts w:hint="default"/>
      </w:rPr>
    </w:lvl>
    <w:lvl w:ilvl="6">
      <w:start w:val="1"/>
      <w:numFmt w:val="decimal"/>
      <w:lvlText w:val="%1.%2.%3.%4.%5.%6.%7"/>
      <w:lvlJc w:val="left"/>
      <w:pPr>
        <w:tabs>
          <w:tab w:val="num" w:pos="1455"/>
        </w:tabs>
        <w:ind w:left="1455" w:hanging="1440"/>
      </w:pPr>
      <w:rPr>
        <w:rFonts w:hint="default"/>
      </w:rPr>
    </w:lvl>
    <w:lvl w:ilvl="7">
      <w:start w:val="1"/>
      <w:numFmt w:val="decimal"/>
      <w:lvlText w:val="%1.%2.%3.%4.%5.%6.%7.%8"/>
      <w:lvlJc w:val="left"/>
      <w:pPr>
        <w:tabs>
          <w:tab w:val="num" w:pos="1458"/>
        </w:tabs>
        <w:ind w:left="1458" w:hanging="1440"/>
      </w:pPr>
      <w:rPr>
        <w:rFonts w:hint="default"/>
      </w:rPr>
    </w:lvl>
    <w:lvl w:ilvl="8">
      <w:start w:val="1"/>
      <w:numFmt w:val="decimal"/>
      <w:lvlText w:val="%1.%2.%3.%4.%5.%6.%7.%8.%9"/>
      <w:lvlJc w:val="left"/>
      <w:pPr>
        <w:tabs>
          <w:tab w:val="num" w:pos="1821"/>
        </w:tabs>
        <w:ind w:left="1821" w:hanging="1800"/>
      </w:pPr>
      <w:rPr>
        <w:rFonts w:hint="default"/>
      </w:rPr>
    </w:lvl>
  </w:abstractNum>
  <w:abstractNum w:abstractNumId="14">
    <w:nsid w:val="1BE720F5"/>
    <w:multiLevelType w:val="hybridMultilevel"/>
    <w:tmpl w:val="1966D522"/>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F0669C2"/>
    <w:multiLevelType w:val="multilevel"/>
    <w:tmpl w:val="885A5E58"/>
    <w:lvl w:ilvl="0">
      <w:start w:val="2"/>
      <w:numFmt w:val="decimal"/>
      <w:lvlText w:val="%1."/>
      <w:lvlJc w:val="left"/>
      <w:pPr>
        <w:ind w:left="510" w:hanging="51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28E4768B"/>
    <w:multiLevelType w:val="hybridMultilevel"/>
    <w:tmpl w:val="073E40D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37376FC7"/>
    <w:multiLevelType w:val="hybridMultilevel"/>
    <w:tmpl w:val="FD80C54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nsid w:val="3EEF1C27"/>
    <w:multiLevelType w:val="multilevel"/>
    <w:tmpl w:val="372C1DE6"/>
    <w:styleLink w:val="EstiloNumeradoIzquierda0cmSangrafrancesa042cm"/>
    <w:lvl w:ilvl="0">
      <w:start w:val="1"/>
      <w:numFmt w:val="lowerLetter"/>
      <w:pStyle w:val="References"/>
      <w:lvlText w:val="%1."/>
      <w:lvlJc w:val="left"/>
      <w:pPr>
        <w:tabs>
          <w:tab w:val="num" w:pos="705"/>
        </w:tabs>
        <w:ind w:left="705" w:hanging="705"/>
      </w:pPr>
      <w:rPr>
        <w:rFonts w:ascii="Humanst521 BT" w:hAnsi="Humanst521 BT"/>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3FAB3DC4"/>
    <w:multiLevelType w:val="multilevel"/>
    <w:tmpl w:val="4732D6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03Second-LevelSubheadingBOLD"/>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4EEB5814"/>
    <w:multiLevelType w:val="hybridMultilevel"/>
    <w:tmpl w:val="8D6014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3CC001A"/>
    <w:multiLevelType w:val="hybridMultilevel"/>
    <w:tmpl w:val="358C8B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5C07809"/>
    <w:multiLevelType w:val="hybridMultilevel"/>
    <w:tmpl w:val="957C19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AFD6CA9"/>
    <w:multiLevelType w:val="hybridMultilevel"/>
    <w:tmpl w:val="C8980EF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5B994494"/>
    <w:multiLevelType w:val="hybridMultilevel"/>
    <w:tmpl w:val="56BCD790"/>
    <w:lvl w:ilvl="0" w:tplc="E3F848EA">
      <w:start w:val="1"/>
      <w:numFmt w:val="bullet"/>
      <w:pStyle w:val="Parrafovinetado2"/>
      <w:lvlText w:val=""/>
      <w:lvlJc w:val="left"/>
      <w:pPr>
        <w:tabs>
          <w:tab w:val="num" w:pos="717"/>
        </w:tabs>
        <w:ind w:left="717" w:hanging="377"/>
      </w:pPr>
      <w:rPr>
        <w:rFonts w:ascii="Symbol" w:hAnsi="Symbol" w:cs="Humanst521 BT" w:hint="default"/>
        <w:b/>
        <w:bCs/>
        <w:i w:val="0"/>
        <w:iCs w:val="0"/>
        <w:sz w:val="20"/>
        <w:szCs w:val="20"/>
      </w:rPr>
    </w:lvl>
    <w:lvl w:ilvl="1" w:tplc="C3286C48">
      <w:start w:val="1"/>
      <w:numFmt w:val="bullet"/>
      <w:lvlText w:val="o"/>
      <w:lvlJc w:val="left"/>
      <w:pPr>
        <w:tabs>
          <w:tab w:val="num" w:pos="1845"/>
        </w:tabs>
        <w:ind w:left="1845" w:hanging="360"/>
      </w:pPr>
      <w:rPr>
        <w:rFonts w:ascii="Courier New" w:hAnsi="Courier New" w:cs="Arial" w:hint="default"/>
      </w:rPr>
    </w:lvl>
    <w:lvl w:ilvl="2" w:tplc="96DCF1F4">
      <w:start w:val="1"/>
      <w:numFmt w:val="bullet"/>
      <w:lvlText w:val=""/>
      <w:lvlJc w:val="left"/>
      <w:pPr>
        <w:tabs>
          <w:tab w:val="num" w:pos="2565"/>
        </w:tabs>
        <w:ind w:left="2565" w:hanging="360"/>
      </w:pPr>
      <w:rPr>
        <w:rFonts w:ascii="Wingdings" w:hAnsi="Wingdings" w:cs="Courier New" w:hint="default"/>
      </w:rPr>
    </w:lvl>
    <w:lvl w:ilvl="3" w:tplc="C0D41352">
      <w:start w:val="1"/>
      <w:numFmt w:val="bullet"/>
      <w:lvlText w:val=""/>
      <w:lvlJc w:val="left"/>
      <w:pPr>
        <w:tabs>
          <w:tab w:val="num" w:pos="3285"/>
        </w:tabs>
        <w:ind w:left="3285" w:hanging="360"/>
      </w:pPr>
      <w:rPr>
        <w:rFonts w:ascii="Symbol" w:hAnsi="Symbol" w:cs="Humanst521 BT" w:hint="default"/>
      </w:rPr>
    </w:lvl>
    <w:lvl w:ilvl="4" w:tplc="B7EC72C8">
      <w:start w:val="1"/>
      <w:numFmt w:val="bullet"/>
      <w:lvlText w:val="o"/>
      <w:lvlJc w:val="left"/>
      <w:pPr>
        <w:tabs>
          <w:tab w:val="num" w:pos="4005"/>
        </w:tabs>
        <w:ind w:left="4005" w:hanging="360"/>
      </w:pPr>
      <w:rPr>
        <w:rFonts w:ascii="Courier New" w:hAnsi="Courier New" w:cs="Arial" w:hint="default"/>
      </w:rPr>
    </w:lvl>
    <w:lvl w:ilvl="5" w:tplc="E2DEE458">
      <w:start w:val="1"/>
      <w:numFmt w:val="bullet"/>
      <w:lvlText w:val=""/>
      <w:lvlJc w:val="left"/>
      <w:pPr>
        <w:tabs>
          <w:tab w:val="num" w:pos="4725"/>
        </w:tabs>
        <w:ind w:left="4725" w:hanging="360"/>
      </w:pPr>
      <w:rPr>
        <w:rFonts w:ascii="Wingdings" w:hAnsi="Wingdings" w:cs="Courier New" w:hint="default"/>
      </w:rPr>
    </w:lvl>
    <w:lvl w:ilvl="6" w:tplc="A5E84B0C">
      <w:start w:val="1"/>
      <w:numFmt w:val="bullet"/>
      <w:lvlText w:val=""/>
      <w:lvlJc w:val="left"/>
      <w:pPr>
        <w:tabs>
          <w:tab w:val="num" w:pos="5445"/>
        </w:tabs>
        <w:ind w:left="5445" w:hanging="360"/>
      </w:pPr>
      <w:rPr>
        <w:rFonts w:ascii="Symbol" w:hAnsi="Symbol" w:cs="Humanst521 BT" w:hint="default"/>
      </w:rPr>
    </w:lvl>
    <w:lvl w:ilvl="7" w:tplc="6B7AC55E">
      <w:start w:val="1"/>
      <w:numFmt w:val="bullet"/>
      <w:lvlText w:val="o"/>
      <w:lvlJc w:val="left"/>
      <w:pPr>
        <w:tabs>
          <w:tab w:val="num" w:pos="6165"/>
        </w:tabs>
        <w:ind w:left="6165" w:hanging="360"/>
      </w:pPr>
      <w:rPr>
        <w:rFonts w:ascii="Courier New" w:hAnsi="Courier New" w:cs="Arial" w:hint="default"/>
      </w:rPr>
    </w:lvl>
    <w:lvl w:ilvl="8" w:tplc="29B69CAE">
      <w:start w:val="1"/>
      <w:numFmt w:val="bullet"/>
      <w:lvlText w:val=""/>
      <w:lvlJc w:val="left"/>
      <w:pPr>
        <w:tabs>
          <w:tab w:val="num" w:pos="6885"/>
        </w:tabs>
        <w:ind w:left="6885" w:hanging="360"/>
      </w:pPr>
      <w:rPr>
        <w:rFonts w:ascii="Wingdings" w:hAnsi="Wingdings" w:cs="Courier New" w:hint="default"/>
      </w:rPr>
    </w:lvl>
  </w:abstractNum>
  <w:abstractNum w:abstractNumId="25">
    <w:nsid w:val="66E10B1B"/>
    <w:multiLevelType w:val="hybridMultilevel"/>
    <w:tmpl w:val="2D1C03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69F35D34"/>
    <w:multiLevelType w:val="hybridMultilevel"/>
    <w:tmpl w:val="48CE7C5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nsid w:val="6C315EB6"/>
    <w:multiLevelType w:val="hybridMultilevel"/>
    <w:tmpl w:val="1682BA14"/>
    <w:lvl w:ilvl="0" w:tplc="0DE42E2E">
      <w:numFmt w:val="bullet"/>
      <w:lvlText w:val="•"/>
      <w:lvlJc w:val="left"/>
      <w:pPr>
        <w:ind w:left="1065" w:hanging="705"/>
      </w:pPr>
      <w:rPr>
        <w:rFonts w:ascii="Times New Roman" w:eastAsia="Calibr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E3C4161"/>
    <w:multiLevelType w:val="hybridMultilevel"/>
    <w:tmpl w:val="135C2162"/>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nsid w:val="6FAB4DA0"/>
    <w:multiLevelType w:val="hybridMultilevel"/>
    <w:tmpl w:val="682030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71563B80"/>
    <w:multiLevelType w:val="multilevel"/>
    <w:tmpl w:val="400A2D78"/>
    <w:lvl w:ilvl="0">
      <w:start w:val="1"/>
      <w:numFmt w:val="decimal"/>
      <w:lvlText w:val="%1."/>
      <w:lvlJc w:val="left"/>
      <w:pPr>
        <w:tabs>
          <w:tab w:val="num" w:pos="432"/>
        </w:tabs>
        <w:ind w:left="432" w:hanging="432"/>
      </w:pPr>
      <w:rPr>
        <w:rFonts w:hint="default"/>
      </w:rPr>
    </w:lvl>
    <w:lvl w:ilvl="1">
      <w:start w:val="1"/>
      <w:numFmt w:val="decimal"/>
      <w:pStyle w:val="02First-LevelSubheadingBOLD"/>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26A0AD5"/>
    <w:multiLevelType w:val="hybridMultilevel"/>
    <w:tmpl w:val="AC166E70"/>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4F2485C"/>
    <w:multiLevelType w:val="multilevel"/>
    <w:tmpl w:val="4C4A1156"/>
    <w:lvl w:ilvl="0">
      <w:start w:val="4"/>
      <w:numFmt w:val="decimal"/>
      <w:lvlText w:val="%1."/>
      <w:lvlJc w:val="left"/>
      <w:pPr>
        <w:ind w:left="390" w:hanging="390"/>
      </w:pPr>
      <w:rPr>
        <w:rFonts w:hint="default"/>
      </w:rPr>
    </w:lvl>
    <w:lvl w:ilvl="1">
      <w:start w:val="1"/>
      <w:numFmt w:val="decimal"/>
      <w:lvlText w:val="%1.%2."/>
      <w:lvlJc w:val="left"/>
      <w:pPr>
        <w:ind w:left="1298" w:hanging="72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814" w:hanging="108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4330" w:hanging="144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846" w:hanging="1800"/>
      </w:pPr>
      <w:rPr>
        <w:rFonts w:hint="default"/>
      </w:rPr>
    </w:lvl>
    <w:lvl w:ilvl="8">
      <w:start w:val="1"/>
      <w:numFmt w:val="decimal"/>
      <w:lvlText w:val="%1.%2.%3.%4.%5.%6.%7.%8.%9."/>
      <w:lvlJc w:val="left"/>
      <w:pPr>
        <w:ind w:left="6784" w:hanging="2160"/>
      </w:pPr>
      <w:rPr>
        <w:rFonts w:hint="default"/>
      </w:rPr>
    </w:lvl>
  </w:abstractNum>
  <w:abstractNum w:abstractNumId="33">
    <w:nsid w:val="757A264A"/>
    <w:multiLevelType w:val="hybridMultilevel"/>
    <w:tmpl w:val="0E5C521E"/>
    <w:lvl w:ilvl="0" w:tplc="25EE6D3C">
      <w:start w:val="1"/>
      <w:numFmt w:val="upperRoman"/>
      <w:lvlText w:val="%1)"/>
      <w:lvlJc w:val="left"/>
      <w:pPr>
        <w:ind w:left="1080" w:hanging="720"/>
      </w:pPr>
      <w:rPr>
        <w:rFonts w:ascii="Humanst521 BT" w:hAnsi="Humanst521 BT" w:hint="default"/>
        <w:b/>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62250DD"/>
    <w:multiLevelType w:val="multilevel"/>
    <w:tmpl w:val="885A5E58"/>
    <w:lvl w:ilvl="0">
      <w:start w:val="2"/>
      <w:numFmt w:val="decimal"/>
      <w:lvlText w:val="%1."/>
      <w:lvlJc w:val="left"/>
      <w:pPr>
        <w:ind w:left="510" w:hanging="51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76723D70"/>
    <w:multiLevelType w:val="multilevel"/>
    <w:tmpl w:val="885A5E58"/>
    <w:lvl w:ilvl="0">
      <w:start w:val="2"/>
      <w:numFmt w:val="decimal"/>
      <w:lvlText w:val="%1."/>
      <w:lvlJc w:val="left"/>
      <w:pPr>
        <w:ind w:left="510" w:hanging="51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76EA538E"/>
    <w:multiLevelType w:val="multilevel"/>
    <w:tmpl w:val="885A5E58"/>
    <w:lvl w:ilvl="0">
      <w:start w:val="2"/>
      <w:numFmt w:val="decimal"/>
      <w:lvlText w:val="%1."/>
      <w:lvlJc w:val="left"/>
      <w:pPr>
        <w:ind w:left="510" w:hanging="51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nsid w:val="7A241AEA"/>
    <w:multiLevelType w:val="hybridMultilevel"/>
    <w:tmpl w:val="D5F23CE0"/>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7E1715DF"/>
    <w:multiLevelType w:val="multilevel"/>
    <w:tmpl w:val="FED24814"/>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9">
    <w:nsid w:val="7E3756F6"/>
    <w:multiLevelType w:val="hybridMultilevel"/>
    <w:tmpl w:val="8FA2B5C0"/>
    <w:lvl w:ilvl="0" w:tplc="64847CBC">
      <w:start w:val="1"/>
      <w:numFmt w:val="lowerLetter"/>
      <w:pStyle w:val="EstilovietaletraTimesNewRoman12pt"/>
      <w:lvlText w:val="%1."/>
      <w:lvlJc w:val="left"/>
      <w:pPr>
        <w:tabs>
          <w:tab w:val="num" w:pos="360"/>
        </w:tabs>
        <w:ind w:left="360" w:hanging="360"/>
      </w:pPr>
      <w:rPr>
        <w:rFonts w:ascii="Times New Roman" w:hAnsi="Times New Roman" w:hint="default"/>
        <w:b/>
        <w:i w:val="0"/>
        <w:sz w:val="24"/>
        <w:szCs w:val="24"/>
      </w:rPr>
    </w:lvl>
    <w:lvl w:ilvl="1" w:tplc="0C0A0003">
      <w:start w:val="1"/>
      <w:numFmt w:val="bullet"/>
      <w:lvlText w:val=""/>
      <w:lvlJc w:val="left"/>
      <w:pPr>
        <w:tabs>
          <w:tab w:val="num" w:pos="1440"/>
        </w:tabs>
        <w:ind w:left="1440" w:hanging="360"/>
      </w:pPr>
      <w:rPr>
        <w:rFonts w:ascii="Symbol" w:hAnsi="Symbol" w:hint="default"/>
        <w:b/>
        <w:i w:val="0"/>
        <w:color w:val="auto"/>
        <w:sz w:val="24"/>
        <w:szCs w:val="24"/>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num w:numId="1">
    <w:abstractNumId w:val="30"/>
  </w:num>
  <w:num w:numId="2">
    <w:abstractNumId w:val="19"/>
  </w:num>
  <w:num w:numId="3">
    <w:abstractNumId w:val="38"/>
  </w:num>
  <w:num w:numId="4">
    <w:abstractNumId w:val="11"/>
  </w:num>
  <w:num w:numId="5">
    <w:abstractNumId w:val="18"/>
  </w:num>
  <w:num w:numId="6">
    <w:abstractNumId w:val="13"/>
  </w:num>
  <w:num w:numId="7">
    <w:abstractNumId w:val="24"/>
  </w:num>
  <w:num w:numId="8">
    <w:abstractNumId w:val="6"/>
  </w:num>
  <w:num w:numId="9">
    <w:abstractNumId w:val="12"/>
  </w:num>
  <w:num w:numId="10">
    <w:abstractNumId w:val="39"/>
  </w:num>
  <w:num w:numId="11">
    <w:abstractNumId w:val="4"/>
  </w:num>
  <w:num w:numId="12">
    <w:abstractNumId w:val="5"/>
  </w:num>
  <w:num w:numId="13">
    <w:abstractNumId w:val="0"/>
  </w:num>
  <w:num w:numId="14">
    <w:abstractNumId w:val="28"/>
  </w:num>
  <w:num w:numId="15">
    <w:abstractNumId w:val="14"/>
  </w:num>
  <w:num w:numId="16">
    <w:abstractNumId w:val="2"/>
  </w:num>
  <w:num w:numId="17">
    <w:abstractNumId w:val="17"/>
  </w:num>
  <w:num w:numId="18">
    <w:abstractNumId w:val="38"/>
    <w:lvlOverride w:ilvl="0">
      <w:startOverride w:val="1"/>
    </w:lvlOverride>
    <w:lvlOverride w:ilvl="1">
      <w:startOverride w:val="7"/>
    </w:lvlOverride>
    <w:lvlOverride w:ilvl="2">
      <w:startOverride w:val="2"/>
    </w:lvlOverride>
  </w:num>
  <w:num w:numId="19">
    <w:abstractNumId w:val="20"/>
  </w:num>
  <w:num w:numId="20">
    <w:abstractNumId w:val="32"/>
  </w:num>
  <w:num w:numId="21">
    <w:abstractNumId w:val="25"/>
  </w:num>
  <w:num w:numId="22">
    <w:abstractNumId w:val="29"/>
  </w:num>
  <w:num w:numId="23">
    <w:abstractNumId w:val="27"/>
  </w:num>
  <w:num w:numId="24">
    <w:abstractNumId w:val="22"/>
  </w:num>
  <w:num w:numId="25">
    <w:abstractNumId w:val="21"/>
  </w:num>
  <w:num w:numId="26">
    <w:abstractNumId w:val="3"/>
  </w:num>
  <w:num w:numId="27">
    <w:abstractNumId w:val="31"/>
  </w:num>
  <w:num w:numId="28">
    <w:abstractNumId w:val="9"/>
  </w:num>
  <w:num w:numId="29">
    <w:abstractNumId w:val="10"/>
  </w:num>
  <w:num w:numId="30">
    <w:abstractNumId w:val="33"/>
  </w:num>
  <w:num w:numId="31">
    <w:abstractNumId w:val="7"/>
  </w:num>
  <w:num w:numId="32">
    <w:abstractNumId w:val="37"/>
  </w:num>
  <w:num w:numId="33">
    <w:abstractNumId w:val="8"/>
  </w:num>
  <w:num w:numId="34">
    <w:abstractNumId w:val="16"/>
  </w:num>
  <w:num w:numId="35">
    <w:abstractNumId w:val="34"/>
  </w:num>
  <w:num w:numId="36">
    <w:abstractNumId w:val="35"/>
  </w:num>
  <w:num w:numId="37">
    <w:abstractNumId w:val="15"/>
  </w:num>
  <w:num w:numId="38">
    <w:abstractNumId w:val="36"/>
  </w:num>
  <w:num w:numId="39">
    <w:abstractNumId w:val="23"/>
  </w:num>
  <w:num w:numId="40">
    <w:abstractNumId w:val="1"/>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FB"/>
    <w:rsid w:val="00050D1D"/>
    <w:rsid w:val="000641C6"/>
    <w:rsid w:val="000840E7"/>
    <w:rsid w:val="000C1055"/>
    <w:rsid w:val="000C2217"/>
    <w:rsid w:val="001803FB"/>
    <w:rsid w:val="001A27CA"/>
    <w:rsid w:val="001D5B70"/>
    <w:rsid w:val="00274ADE"/>
    <w:rsid w:val="00276074"/>
    <w:rsid w:val="002A74C5"/>
    <w:rsid w:val="00382E84"/>
    <w:rsid w:val="003C311C"/>
    <w:rsid w:val="003E4323"/>
    <w:rsid w:val="003F1FC5"/>
    <w:rsid w:val="004167AD"/>
    <w:rsid w:val="00452436"/>
    <w:rsid w:val="004A0D77"/>
    <w:rsid w:val="004A395B"/>
    <w:rsid w:val="005049E9"/>
    <w:rsid w:val="00572946"/>
    <w:rsid w:val="005800A0"/>
    <w:rsid w:val="00636522"/>
    <w:rsid w:val="00646EAE"/>
    <w:rsid w:val="00660EA8"/>
    <w:rsid w:val="006705C3"/>
    <w:rsid w:val="006E3766"/>
    <w:rsid w:val="007A38F6"/>
    <w:rsid w:val="00837221"/>
    <w:rsid w:val="00974AF7"/>
    <w:rsid w:val="00B11509"/>
    <w:rsid w:val="00BE6F71"/>
    <w:rsid w:val="00D07943"/>
    <w:rsid w:val="00D23A8C"/>
    <w:rsid w:val="00D35BF3"/>
    <w:rsid w:val="00DA1AF5"/>
    <w:rsid w:val="00DC10E3"/>
    <w:rsid w:val="00DC7212"/>
    <w:rsid w:val="00DD67A5"/>
    <w:rsid w:val="00DE6F72"/>
    <w:rsid w:val="00E16BF9"/>
    <w:rsid w:val="00E25316"/>
    <w:rsid w:val="00E361E3"/>
    <w:rsid w:val="00E54FF8"/>
    <w:rsid w:val="00F420B7"/>
    <w:rsid w:val="00FC087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7A2C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3FB"/>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1803FB"/>
    <w:pPr>
      <w:keepNext/>
      <w:numPr>
        <w:numId w:val="3"/>
      </w:numPr>
      <w:spacing w:before="240" w:after="60"/>
      <w:jc w:val="both"/>
      <w:outlineLvl w:val="0"/>
    </w:pPr>
    <w:rPr>
      <w:rFonts w:ascii="Humanst521 BT" w:hAnsi="Humanst521 BT" w:cs="Arial"/>
      <w:b/>
      <w:bCs/>
      <w:kern w:val="32"/>
      <w:lang w:val="es-CO" w:eastAsia="en-US"/>
    </w:rPr>
  </w:style>
  <w:style w:type="paragraph" w:styleId="Ttulo2">
    <w:name w:val="heading 2"/>
    <w:basedOn w:val="Normal"/>
    <w:next w:val="Normal"/>
    <w:link w:val="Ttulo2Car"/>
    <w:qFormat/>
    <w:rsid w:val="001803FB"/>
    <w:pPr>
      <w:keepNext/>
      <w:numPr>
        <w:ilvl w:val="1"/>
        <w:numId w:val="3"/>
      </w:numPr>
      <w:spacing w:before="240" w:after="240"/>
      <w:jc w:val="both"/>
      <w:outlineLvl w:val="1"/>
    </w:pPr>
    <w:rPr>
      <w:rFonts w:ascii="Humanst521 BT" w:hAnsi="Humanst521 BT" w:cs="Arial"/>
      <w:b/>
      <w:bCs/>
      <w:i/>
      <w:iCs/>
      <w:szCs w:val="28"/>
      <w:lang w:val="es-CO" w:eastAsia="en-US"/>
    </w:rPr>
  </w:style>
  <w:style w:type="paragraph" w:styleId="Ttulo3">
    <w:name w:val="heading 3"/>
    <w:basedOn w:val="Normal"/>
    <w:next w:val="Normal"/>
    <w:link w:val="Ttulo3Car"/>
    <w:qFormat/>
    <w:rsid w:val="001803FB"/>
    <w:pPr>
      <w:keepNext/>
      <w:numPr>
        <w:ilvl w:val="2"/>
        <w:numId w:val="3"/>
      </w:numPr>
      <w:spacing w:before="240" w:after="240"/>
      <w:jc w:val="both"/>
      <w:outlineLvl w:val="2"/>
    </w:pPr>
    <w:rPr>
      <w:rFonts w:ascii="Humanst521 BT" w:hAnsi="Humanst521 BT" w:cs="Arial"/>
      <w:b/>
      <w:bCs/>
      <w:sz w:val="22"/>
      <w:szCs w:val="26"/>
      <w:lang w:val="es-CO" w:eastAsia="en-US"/>
    </w:rPr>
  </w:style>
  <w:style w:type="paragraph" w:styleId="Ttulo4">
    <w:name w:val="heading 4"/>
    <w:aliases w:val="MIT X.X.X.X,H4"/>
    <w:basedOn w:val="Normal"/>
    <w:next w:val="Normal"/>
    <w:link w:val="Ttulo4Car"/>
    <w:qFormat/>
    <w:rsid w:val="001803FB"/>
    <w:pPr>
      <w:keepNext/>
      <w:numPr>
        <w:ilvl w:val="3"/>
        <w:numId w:val="3"/>
      </w:numPr>
      <w:spacing w:before="240" w:after="60"/>
      <w:jc w:val="both"/>
      <w:outlineLvl w:val="3"/>
    </w:pPr>
    <w:rPr>
      <w:rFonts w:ascii="Humanst521 BT" w:hAnsi="Humanst521 BT"/>
      <w:bCs/>
      <w:i/>
      <w:sz w:val="20"/>
      <w:szCs w:val="28"/>
      <w:lang w:val="es-CO" w:eastAsia="en-US"/>
    </w:rPr>
  </w:style>
  <w:style w:type="paragraph" w:styleId="Ttulo5">
    <w:name w:val="heading 5"/>
    <w:basedOn w:val="Normal"/>
    <w:next w:val="Normal"/>
    <w:link w:val="Ttulo5Car"/>
    <w:qFormat/>
    <w:rsid w:val="001803FB"/>
    <w:pPr>
      <w:numPr>
        <w:ilvl w:val="4"/>
        <w:numId w:val="3"/>
      </w:numPr>
      <w:spacing w:before="240" w:after="60"/>
      <w:jc w:val="both"/>
      <w:outlineLvl w:val="4"/>
    </w:pPr>
    <w:rPr>
      <w:rFonts w:ascii="Humanst521 BT" w:hAnsi="Humanst521 BT"/>
      <w:b/>
      <w:bCs/>
      <w:i/>
      <w:iCs/>
      <w:sz w:val="26"/>
      <w:szCs w:val="26"/>
      <w:lang w:val="es-CO" w:eastAsia="en-US"/>
    </w:rPr>
  </w:style>
  <w:style w:type="paragraph" w:styleId="Ttulo6">
    <w:name w:val="heading 6"/>
    <w:aliases w:val="H6"/>
    <w:basedOn w:val="Normal"/>
    <w:next w:val="Normal"/>
    <w:link w:val="Ttulo6Car"/>
    <w:qFormat/>
    <w:rsid w:val="001803FB"/>
    <w:pPr>
      <w:numPr>
        <w:ilvl w:val="5"/>
        <w:numId w:val="3"/>
      </w:numPr>
      <w:spacing w:before="240" w:after="60"/>
      <w:jc w:val="both"/>
      <w:outlineLvl w:val="5"/>
    </w:pPr>
    <w:rPr>
      <w:b/>
      <w:bCs/>
      <w:sz w:val="22"/>
      <w:szCs w:val="22"/>
      <w:lang w:val="es-CO" w:eastAsia="en-US"/>
    </w:rPr>
  </w:style>
  <w:style w:type="paragraph" w:styleId="Ttulo7">
    <w:name w:val="heading 7"/>
    <w:basedOn w:val="Normal"/>
    <w:next w:val="Normal"/>
    <w:link w:val="Ttulo7Car"/>
    <w:qFormat/>
    <w:rsid w:val="001803FB"/>
    <w:pPr>
      <w:numPr>
        <w:ilvl w:val="6"/>
        <w:numId w:val="3"/>
      </w:numPr>
      <w:spacing w:before="240" w:after="60"/>
      <w:jc w:val="both"/>
      <w:outlineLvl w:val="6"/>
    </w:pPr>
    <w:rPr>
      <w:lang w:val="es-CO" w:eastAsia="en-US"/>
    </w:rPr>
  </w:style>
  <w:style w:type="paragraph" w:styleId="Ttulo8">
    <w:name w:val="heading 8"/>
    <w:basedOn w:val="Normal"/>
    <w:next w:val="Normal"/>
    <w:link w:val="Ttulo8Car"/>
    <w:qFormat/>
    <w:rsid w:val="001803FB"/>
    <w:pPr>
      <w:numPr>
        <w:ilvl w:val="7"/>
        <w:numId w:val="3"/>
      </w:numPr>
      <w:spacing w:before="240" w:after="60"/>
      <w:jc w:val="both"/>
      <w:outlineLvl w:val="7"/>
    </w:pPr>
    <w:rPr>
      <w:i/>
      <w:iCs/>
      <w:lang w:val="es-CO" w:eastAsia="en-US"/>
    </w:rPr>
  </w:style>
  <w:style w:type="paragraph" w:styleId="Ttulo9">
    <w:name w:val="heading 9"/>
    <w:basedOn w:val="Normal"/>
    <w:next w:val="Normal"/>
    <w:link w:val="Ttulo9Car"/>
    <w:qFormat/>
    <w:rsid w:val="001803FB"/>
    <w:pPr>
      <w:numPr>
        <w:ilvl w:val="8"/>
        <w:numId w:val="3"/>
      </w:numPr>
      <w:spacing w:before="240" w:after="60"/>
      <w:jc w:val="both"/>
      <w:outlineLvl w:val="8"/>
    </w:pPr>
    <w:rPr>
      <w:rFonts w:ascii="Arial" w:hAnsi="Arial" w:cs="Arial"/>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03FB"/>
    <w:rPr>
      <w:rFonts w:ascii="Humanst521 BT" w:eastAsia="Times New Roman" w:hAnsi="Humanst521 BT" w:cs="Arial"/>
      <w:b/>
      <w:bCs/>
      <w:kern w:val="32"/>
      <w:lang w:val="es-CO"/>
    </w:rPr>
  </w:style>
  <w:style w:type="character" w:customStyle="1" w:styleId="Ttulo2Car">
    <w:name w:val="Título 2 Car"/>
    <w:basedOn w:val="Fuentedeprrafopredeter"/>
    <w:link w:val="Ttulo2"/>
    <w:rsid w:val="001803FB"/>
    <w:rPr>
      <w:rFonts w:ascii="Humanst521 BT" w:eastAsia="Times New Roman" w:hAnsi="Humanst521 BT" w:cs="Arial"/>
      <w:b/>
      <w:bCs/>
      <w:i/>
      <w:iCs/>
      <w:szCs w:val="28"/>
      <w:lang w:val="es-CO"/>
    </w:rPr>
  </w:style>
  <w:style w:type="character" w:customStyle="1" w:styleId="Ttulo3Car">
    <w:name w:val="Título 3 Car"/>
    <w:basedOn w:val="Fuentedeprrafopredeter"/>
    <w:link w:val="Ttulo3"/>
    <w:rsid w:val="001803FB"/>
    <w:rPr>
      <w:rFonts w:ascii="Humanst521 BT" w:eastAsia="Times New Roman" w:hAnsi="Humanst521 BT" w:cs="Arial"/>
      <w:b/>
      <w:bCs/>
      <w:sz w:val="22"/>
      <w:szCs w:val="26"/>
      <w:lang w:val="es-CO"/>
    </w:rPr>
  </w:style>
  <w:style w:type="character" w:customStyle="1" w:styleId="Ttulo4Car">
    <w:name w:val="Título 4 Car"/>
    <w:basedOn w:val="Fuentedeprrafopredeter"/>
    <w:link w:val="Ttulo4"/>
    <w:rsid w:val="001803FB"/>
    <w:rPr>
      <w:rFonts w:ascii="Humanst521 BT" w:eastAsia="Times New Roman" w:hAnsi="Humanst521 BT" w:cs="Times New Roman"/>
      <w:bCs/>
      <w:i/>
      <w:sz w:val="20"/>
      <w:szCs w:val="28"/>
      <w:lang w:val="es-CO"/>
    </w:rPr>
  </w:style>
  <w:style w:type="character" w:customStyle="1" w:styleId="Ttulo5Car">
    <w:name w:val="Título 5 Car"/>
    <w:basedOn w:val="Fuentedeprrafopredeter"/>
    <w:link w:val="Ttulo5"/>
    <w:rsid w:val="001803FB"/>
    <w:rPr>
      <w:rFonts w:ascii="Humanst521 BT" w:eastAsia="Times New Roman" w:hAnsi="Humanst521 BT" w:cs="Times New Roman"/>
      <w:b/>
      <w:bCs/>
      <w:i/>
      <w:iCs/>
      <w:sz w:val="26"/>
      <w:szCs w:val="26"/>
      <w:lang w:val="es-CO"/>
    </w:rPr>
  </w:style>
  <w:style w:type="character" w:customStyle="1" w:styleId="Ttulo6Car">
    <w:name w:val="Título 6 Car"/>
    <w:basedOn w:val="Fuentedeprrafopredeter"/>
    <w:link w:val="Ttulo6"/>
    <w:rsid w:val="001803FB"/>
    <w:rPr>
      <w:rFonts w:ascii="Times New Roman" w:eastAsia="Times New Roman" w:hAnsi="Times New Roman" w:cs="Times New Roman"/>
      <w:b/>
      <w:bCs/>
      <w:sz w:val="22"/>
      <w:szCs w:val="22"/>
      <w:lang w:val="es-CO"/>
    </w:rPr>
  </w:style>
  <w:style w:type="character" w:customStyle="1" w:styleId="Ttulo7Car">
    <w:name w:val="Título 7 Car"/>
    <w:basedOn w:val="Fuentedeprrafopredeter"/>
    <w:link w:val="Ttulo7"/>
    <w:rsid w:val="001803FB"/>
    <w:rPr>
      <w:rFonts w:ascii="Times New Roman" w:eastAsia="Times New Roman" w:hAnsi="Times New Roman" w:cs="Times New Roman"/>
      <w:lang w:val="es-CO"/>
    </w:rPr>
  </w:style>
  <w:style w:type="character" w:customStyle="1" w:styleId="Ttulo8Car">
    <w:name w:val="Título 8 Car"/>
    <w:basedOn w:val="Fuentedeprrafopredeter"/>
    <w:link w:val="Ttulo8"/>
    <w:rsid w:val="001803FB"/>
    <w:rPr>
      <w:rFonts w:ascii="Times New Roman" w:eastAsia="Times New Roman" w:hAnsi="Times New Roman" w:cs="Times New Roman"/>
      <w:i/>
      <w:iCs/>
      <w:lang w:val="es-CO"/>
    </w:rPr>
  </w:style>
  <w:style w:type="character" w:customStyle="1" w:styleId="Ttulo9Car">
    <w:name w:val="Título 9 Car"/>
    <w:basedOn w:val="Fuentedeprrafopredeter"/>
    <w:link w:val="Ttulo9"/>
    <w:rsid w:val="001803FB"/>
    <w:rPr>
      <w:rFonts w:ascii="Arial" w:eastAsia="Times New Roman" w:hAnsi="Arial" w:cs="Arial"/>
      <w:sz w:val="22"/>
      <w:szCs w:val="22"/>
      <w:lang w:val="es-CO"/>
    </w:rPr>
  </w:style>
  <w:style w:type="paragraph" w:customStyle="1" w:styleId="Normal-UIS">
    <w:name w:val="Normal-UIS"/>
    <w:basedOn w:val="Normal"/>
    <w:rsid w:val="001803FB"/>
    <w:pPr>
      <w:spacing w:after="120"/>
      <w:jc w:val="both"/>
    </w:pPr>
    <w:rPr>
      <w:rFonts w:ascii="Humanst521 BT" w:hAnsi="Humanst521 BT"/>
      <w:b/>
      <w:sz w:val="22"/>
      <w:szCs w:val="20"/>
      <w:lang w:val="es-CO" w:eastAsia="en-US"/>
    </w:rPr>
  </w:style>
  <w:style w:type="paragraph" w:styleId="TDC2">
    <w:name w:val="toc 2"/>
    <w:basedOn w:val="Normal"/>
    <w:next w:val="Normal"/>
    <w:autoRedefine/>
    <w:uiPriority w:val="39"/>
    <w:rsid w:val="001803FB"/>
    <w:pPr>
      <w:tabs>
        <w:tab w:val="left" w:pos="1100"/>
        <w:tab w:val="right" w:leader="dot" w:pos="8729"/>
      </w:tabs>
      <w:ind w:left="220"/>
    </w:pPr>
    <w:rPr>
      <w:rFonts w:ascii="Arial" w:eastAsia="Calibri" w:hAnsi="Arial" w:cs="Arial"/>
      <w:iCs/>
      <w:sz w:val="22"/>
      <w:szCs w:val="22"/>
      <w:lang w:val="es-ES" w:eastAsia="en-US"/>
    </w:rPr>
  </w:style>
  <w:style w:type="paragraph" w:customStyle="1" w:styleId="08BodyText">
    <w:name w:val="08 BodyText"/>
    <w:rsid w:val="001803FB"/>
    <w:pPr>
      <w:spacing w:after="240"/>
      <w:jc w:val="both"/>
    </w:pPr>
    <w:rPr>
      <w:rFonts w:ascii="Humanst521 BT" w:eastAsia="Times New Roman" w:hAnsi="Humanst521 BT" w:cs="Times New Roman"/>
      <w:lang w:val="es-CO"/>
    </w:rPr>
  </w:style>
  <w:style w:type="paragraph" w:styleId="TDC1">
    <w:name w:val="toc 1"/>
    <w:basedOn w:val="Normal"/>
    <w:next w:val="Normal"/>
    <w:autoRedefine/>
    <w:uiPriority w:val="39"/>
    <w:rsid w:val="001803FB"/>
    <w:pPr>
      <w:spacing w:before="120"/>
    </w:pPr>
    <w:rPr>
      <w:rFonts w:asciiTheme="minorHAnsi" w:hAnsiTheme="minorHAnsi"/>
      <w:b/>
      <w:bCs/>
      <w:sz w:val="22"/>
      <w:szCs w:val="22"/>
      <w:lang w:val="es-CO" w:eastAsia="en-US"/>
    </w:rPr>
  </w:style>
  <w:style w:type="paragraph" w:styleId="TDC3">
    <w:name w:val="toc 3"/>
    <w:basedOn w:val="Normal"/>
    <w:next w:val="Normal"/>
    <w:autoRedefine/>
    <w:uiPriority w:val="39"/>
    <w:rsid w:val="001803FB"/>
    <w:pPr>
      <w:ind w:left="440"/>
    </w:pPr>
    <w:rPr>
      <w:rFonts w:asciiTheme="minorHAnsi" w:hAnsiTheme="minorHAnsi"/>
      <w:sz w:val="22"/>
      <w:szCs w:val="22"/>
      <w:lang w:val="es-CO" w:eastAsia="en-US"/>
    </w:rPr>
  </w:style>
  <w:style w:type="paragraph" w:styleId="Encabezado">
    <w:name w:val="header"/>
    <w:basedOn w:val="Normal"/>
    <w:link w:val="EncabezadoCar"/>
    <w:rsid w:val="001803FB"/>
    <w:pPr>
      <w:tabs>
        <w:tab w:val="center" w:pos="4252"/>
        <w:tab w:val="right" w:pos="8504"/>
      </w:tabs>
      <w:spacing w:after="120"/>
      <w:jc w:val="both"/>
    </w:pPr>
    <w:rPr>
      <w:rFonts w:ascii="Humanst521 BT" w:hAnsi="Humanst521 BT"/>
      <w:sz w:val="22"/>
      <w:szCs w:val="20"/>
      <w:lang w:val="es-CO" w:eastAsia="en-US"/>
    </w:rPr>
  </w:style>
  <w:style w:type="character" w:customStyle="1" w:styleId="EncabezadoCar">
    <w:name w:val="Encabezado Car"/>
    <w:basedOn w:val="Fuentedeprrafopredeter"/>
    <w:link w:val="Encabezado"/>
    <w:rsid w:val="001803FB"/>
    <w:rPr>
      <w:rFonts w:ascii="Humanst521 BT" w:eastAsia="Times New Roman" w:hAnsi="Humanst521 BT" w:cs="Times New Roman"/>
      <w:sz w:val="22"/>
      <w:szCs w:val="20"/>
      <w:lang w:val="es-CO"/>
    </w:rPr>
  </w:style>
  <w:style w:type="paragraph" w:styleId="Piedepgina">
    <w:name w:val="footer"/>
    <w:basedOn w:val="Normal"/>
    <w:link w:val="PiedepginaCar"/>
    <w:rsid w:val="001803FB"/>
    <w:pPr>
      <w:tabs>
        <w:tab w:val="center" w:pos="4252"/>
        <w:tab w:val="right" w:pos="8504"/>
      </w:tabs>
      <w:spacing w:after="120"/>
      <w:jc w:val="both"/>
    </w:pPr>
    <w:rPr>
      <w:rFonts w:ascii="Humanst521 BT" w:hAnsi="Humanst521 BT"/>
      <w:sz w:val="22"/>
      <w:szCs w:val="20"/>
      <w:lang w:val="es-CO" w:eastAsia="en-US"/>
    </w:rPr>
  </w:style>
  <w:style w:type="character" w:customStyle="1" w:styleId="PiedepginaCar">
    <w:name w:val="Pie de página Car"/>
    <w:basedOn w:val="Fuentedeprrafopredeter"/>
    <w:link w:val="Piedepgina"/>
    <w:rsid w:val="001803FB"/>
    <w:rPr>
      <w:rFonts w:ascii="Humanst521 BT" w:eastAsia="Times New Roman" w:hAnsi="Humanst521 BT" w:cs="Times New Roman"/>
      <w:sz w:val="22"/>
      <w:szCs w:val="20"/>
      <w:lang w:val="es-CO"/>
    </w:rPr>
  </w:style>
  <w:style w:type="character" w:styleId="Hipervnculo">
    <w:name w:val="Hyperlink"/>
    <w:uiPriority w:val="99"/>
    <w:rsid w:val="001803FB"/>
    <w:rPr>
      <w:rFonts w:ascii="Humanst521 BT" w:hAnsi="Humanst521 BT"/>
      <w:noProof/>
      <w:color w:val="0000FF"/>
      <w:sz w:val="22"/>
      <w:u w:val="single"/>
    </w:rPr>
  </w:style>
  <w:style w:type="paragraph" w:styleId="Textonotapie">
    <w:name w:val="footnote text"/>
    <w:aliases w:val="texto de nota al pie,Nota a pie/Bibliog,Texto nota pie Car1,Texto nota pie Car Car,Car1 Car Car,Car1 Car2,Car1,ft Car Car,ft Car,ft,Texto nota pie Car11,Texto nota pie Car Car1,Car1 Car Car1,Car1 Car21,Car11 Car Car,Car11 Car, Car,f"/>
    <w:basedOn w:val="Normal"/>
    <w:link w:val="TextonotapieCar"/>
    <w:rsid w:val="001803FB"/>
    <w:pPr>
      <w:spacing w:after="60"/>
      <w:ind w:left="238" w:hanging="238"/>
      <w:jc w:val="both"/>
    </w:pPr>
    <w:rPr>
      <w:rFonts w:ascii="Humanst521 BT" w:hAnsi="Humanst521 BT"/>
      <w:sz w:val="18"/>
      <w:szCs w:val="18"/>
      <w:lang w:val="es-ES" w:eastAsia="en-US"/>
    </w:rPr>
  </w:style>
  <w:style w:type="character" w:customStyle="1" w:styleId="TextonotapieCar">
    <w:name w:val="Texto nota pie Car"/>
    <w:aliases w:val="texto de nota al pie Car,Nota a pie/Bibliog Car,Texto nota pie Car1 Car,Texto nota pie Car Car Car,Car1 Car Car Car,Car1 Car2 Car,Car1 Car,ft Car Car Car,ft Car Car1,ft Car1,Texto nota pie Car11 Car,Texto nota pie Car Car1 Car,f Car"/>
    <w:basedOn w:val="Fuentedeprrafopredeter"/>
    <w:link w:val="Textonotapie"/>
    <w:rsid w:val="001803FB"/>
    <w:rPr>
      <w:rFonts w:ascii="Humanst521 BT" w:eastAsia="Times New Roman" w:hAnsi="Humanst521 BT" w:cs="Times New Roman"/>
      <w:sz w:val="18"/>
      <w:szCs w:val="18"/>
      <w:lang w:val="es-ES"/>
    </w:rPr>
  </w:style>
  <w:style w:type="character" w:styleId="Refdenotaalpie">
    <w:name w:val="footnote reference"/>
    <w:aliases w:val="referencia nota al pie,Ref,de nota al pie,Texto de nota al pie,BVI fnr,Ref. de nota al pie2,Nota de pie,Footnote symbol,Footnote,Pie de pagina"/>
    <w:rsid w:val="001803FB"/>
    <w:rPr>
      <w:vertAlign w:val="superscript"/>
    </w:rPr>
  </w:style>
  <w:style w:type="table" w:styleId="Tablaconcuadrcula">
    <w:name w:val="Table Grid"/>
    <w:basedOn w:val="Tablanormal"/>
    <w:uiPriority w:val="59"/>
    <w:rsid w:val="001803FB"/>
    <w:pPr>
      <w:spacing w:after="120"/>
      <w:jc w:val="both"/>
    </w:pPr>
    <w:rPr>
      <w:rFonts w:ascii="Times New Roman" w:eastAsia="Times New Roman" w:hAnsi="Times New Roman"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scripcin">
    <w:name w:val="caption"/>
    <w:basedOn w:val="Normal"/>
    <w:next w:val="Normal"/>
    <w:qFormat/>
    <w:rsid w:val="001803FB"/>
    <w:pPr>
      <w:spacing w:after="120"/>
      <w:jc w:val="both"/>
    </w:pPr>
    <w:rPr>
      <w:rFonts w:ascii="Humanst521 BT" w:hAnsi="Humanst521 BT"/>
      <w:b/>
      <w:bCs/>
      <w:sz w:val="20"/>
      <w:szCs w:val="20"/>
      <w:lang w:val="es-CO" w:eastAsia="en-US"/>
    </w:rPr>
  </w:style>
  <w:style w:type="paragraph" w:styleId="Puesto">
    <w:name w:val="Title"/>
    <w:basedOn w:val="Normal"/>
    <w:link w:val="PuestoCar"/>
    <w:qFormat/>
    <w:rsid w:val="001803FB"/>
    <w:pPr>
      <w:spacing w:before="240" w:after="60"/>
      <w:jc w:val="center"/>
      <w:outlineLvl w:val="0"/>
    </w:pPr>
    <w:rPr>
      <w:rFonts w:ascii="Arial" w:hAnsi="Arial" w:cs="Arial"/>
      <w:b/>
      <w:bCs/>
      <w:kern w:val="28"/>
      <w:sz w:val="32"/>
      <w:szCs w:val="32"/>
      <w:lang w:val="es-CO" w:eastAsia="en-US"/>
    </w:rPr>
  </w:style>
  <w:style w:type="character" w:customStyle="1" w:styleId="PuestoCar">
    <w:name w:val="Puesto Car"/>
    <w:basedOn w:val="Fuentedeprrafopredeter"/>
    <w:link w:val="Puesto"/>
    <w:rsid w:val="001803FB"/>
    <w:rPr>
      <w:rFonts w:ascii="Arial" w:eastAsia="Times New Roman" w:hAnsi="Arial" w:cs="Arial"/>
      <w:b/>
      <w:bCs/>
      <w:kern w:val="28"/>
      <w:sz w:val="32"/>
      <w:szCs w:val="32"/>
      <w:lang w:val="es-CO"/>
    </w:rPr>
  </w:style>
  <w:style w:type="paragraph" w:styleId="TDC4">
    <w:name w:val="toc 4"/>
    <w:basedOn w:val="Normal"/>
    <w:next w:val="Normal"/>
    <w:autoRedefine/>
    <w:uiPriority w:val="39"/>
    <w:rsid w:val="001803FB"/>
    <w:pPr>
      <w:ind w:left="660"/>
    </w:pPr>
    <w:rPr>
      <w:rFonts w:asciiTheme="minorHAnsi" w:hAnsiTheme="minorHAnsi"/>
      <w:sz w:val="20"/>
      <w:szCs w:val="20"/>
      <w:lang w:val="es-CO" w:eastAsia="en-US"/>
    </w:rPr>
  </w:style>
  <w:style w:type="paragraph" w:customStyle="1" w:styleId="02First-LevelSubheadingBOLD">
    <w:name w:val="02 First-Level Subheading BOLD"/>
    <w:basedOn w:val="Normal"/>
    <w:rsid w:val="001803FB"/>
    <w:pPr>
      <w:numPr>
        <w:ilvl w:val="1"/>
        <w:numId w:val="1"/>
      </w:numPr>
      <w:spacing w:after="120"/>
      <w:jc w:val="both"/>
    </w:pPr>
    <w:rPr>
      <w:rFonts w:ascii="Humanst521 BT" w:hAnsi="Humanst521 BT"/>
      <w:sz w:val="22"/>
      <w:szCs w:val="20"/>
      <w:lang w:val="es-CO" w:eastAsia="en-US"/>
    </w:rPr>
  </w:style>
  <w:style w:type="paragraph" w:customStyle="1" w:styleId="03Second-LevelSubheadingBOLD">
    <w:name w:val="03 Second-Level Subheading BOLD"/>
    <w:basedOn w:val="Normal"/>
    <w:rsid w:val="001803FB"/>
    <w:pPr>
      <w:numPr>
        <w:ilvl w:val="2"/>
        <w:numId w:val="2"/>
      </w:numPr>
      <w:spacing w:after="120"/>
      <w:jc w:val="both"/>
    </w:pPr>
    <w:rPr>
      <w:rFonts w:ascii="Humanst521 BT" w:hAnsi="Humanst521 BT"/>
      <w:sz w:val="22"/>
      <w:szCs w:val="20"/>
      <w:lang w:val="es-CO" w:eastAsia="en-US"/>
    </w:rPr>
  </w:style>
  <w:style w:type="paragraph" w:customStyle="1" w:styleId="Nivel1">
    <w:name w:val="Nivel1"/>
    <w:basedOn w:val="Normal"/>
    <w:next w:val="Normal"/>
    <w:rsid w:val="001803FB"/>
    <w:pPr>
      <w:numPr>
        <w:numId w:val="4"/>
      </w:numPr>
      <w:spacing w:before="480" w:after="120"/>
      <w:jc w:val="both"/>
      <w:outlineLvl w:val="0"/>
    </w:pPr>
    <w:rPr>
      <w:rFonts w:ascii="Humanst521 BT" w:hAnsi="Humanst521 BT"/>
      <w:b/>
      <w:caps/>
      <w:sz w:val="22"/>
      <w:szCs w:val="20"/>
      <w:lang w:val="es-CO" w:eastAsia="en-US"/>
    </w:rPr>
  </w:style>
  <w:style w:type="paragraph" w:customStyle="1" w:styleId="Nivel2">
    <w:name w:val="Nivel2"/>
    <w:basedOn w:val="Normal"/>
    <w:next w:val="Normal"/>
    <w:rsid w:val="001803FB"/>
    <w:pPr>
      <w:numPr>
        <w:ilvl w:val="1"/>
        <w:numId w:val="4"/>
      </w:numPr>
      <w:spacing w:before="360" w:after="120"/>
      <w:jc w:val="both"/>
    </w:pPr>
    <w:rPr>
      <w:rFonts w:ascii="Humanst521 BT" w:hAnsi="Humanst521 BT"/>
      <w:caps/>
      <w:sz w:val="22"/>
      <w:szCs w:val="20"/>
      <w:lang w:val="es-CO" w:eastAsia="en-US"/>
    </w:rPr>
  </w:style>
  <w:style w:type="paragraph" w:customStyle="1" w:styleId="Nivel3">
    <w:name w:val="Nivel3"/>
    <w:basedOn w:val="Normal"/>
    <w:next w:val="Normal"/>
    <w:rsid w:val="001803FB"/>
    <w:pPr>
      <w:numPr>
        <w:ilvl w:val="2"/>
        <w:numId w:val="4"/>
      </w:numPr>
      <w:spacing w:before="240" w:after="120"/>
      <w:jc w:val="both"/>
    </w:pPr>
    <w:rPr>
      <w:rFonts w:ascii="Humanst521 BT" w:hAnsi="Humanst521 BT"/>
      <w:sz w:val="22"/>
      <w:szCs w:val="20"/>
      <w:lang w:val="es-CO" w:eastAsia="en-US"/>
    </w:rPr>
  </w:style>
  <w:style w:type="paragraph" w:customStyle="1" w:styleId="Nivel4">
    <w:name w:val="Nivel4"/>
    <w:basedOn w:val="Normal"/>
    <w:rsid w:val="001803FB"/>
    <w:pPr>
      <w:numPr>
        <w:ilvl w:val="3"/>
        <w:numId w:val="4"/>
      </w:numPr>
      <w:spacing w:before="120" w:after="120"/>
      <w:jc w:val="both"/>
    </w:pPr>
    <w:rPr>
      <w:rFonts w:ascii="Humanst521 BT" w:hAnsi="Humanst521 BT"/>
      <w:sz w:val="22"/>
      <w:szCs w:val="20"/>
      <w:lang w:val="es-CO" w:eastAsia="en-US"/>
    </w:rPr>
  </w:style>
  <w:style w:type="paragraph" w:customStyle="1" w:styleId="Nivel5">
    <w:name w:val="Nivel5"/>
    <w:basedOn w:val="Normal"/>
    <w:rsid w:val="001803FB"/>
    <w:pPr>
      <w:numPr>
        <w:ilvl w:val="4"/>
        <w:numId w:val="4"/>
      </w:numPr>
      <w:spacing w:before="120" w:after="120"/>
      <w:jc w:val="both"/>
    </w:pPr>
    <w:rPr>
      <w:rFonts w:ascii="Humanst521 BT" w:hAnsi="Humanst521 BT"/>
      <w:sz w:val="22"/>
      <w:szCs w:val="20"/>
      <w:lang w:val="es-CO" w:eastAsia="en-US"/>
    </w:rPr>
  </w:style>
  <w:style w:type="paragraph" w:styleId="Textodebloque">
    <w:name w:val="Block Text"/>
    <w:basedOn w:val="Normal"/>
    <w:rsid w:val="001803FB"/>
    <w:pPr>
      <w:spacing w:after="120"/>
      <w:ind w:left="1701" w:right="1610"/>
      <w:jc w:val="both"/>
    </w:pPr>
    <w:rPr>
      <w:rFonts w:ascii="Humanst521 BT" w:hAnsi="Humanst521 BT"/>
      <w:sz w:val="16"/>
      <w:szCs w:val="20"/>
      <w:lang w:val="es-CO" w:eastAsia="en-US"/>
    </w:rPr>
  </w:style>
  <w:style w:type="paragraph" w:customStyle="1" w:styleId="tabla">
    <w:name w:val="tabla"/>
    <w:basedOn w:val="Encabezado"/>
    <w:autoRedefine/>
    <w:rsid w:val="001803FB"/>
    <w:pPr>
      <w:keepNext/>
      <w:tabs>
        <w:tab w:val="clear" w:pos="4252"/>
        <w:tab w:val="clear" w:pos="8504"/>
      </w:tabs>
      <w:jc w:val="center"/>
    </w:pPr>
    <w:rPr>
      <w:b/>
      <w:sz w:val="28"/>
      <w:szCs w:val="28"/>
    </w:rPr>
  </w:style>
  <w:style w:type="numbering" w:customStyle="1" w:styleId="EstiloNumeradoIzquierda0cmSangrafrancesa042cm">
    <w:name w:val="Estilo Numerado Izquierda:  0 cm Sangría francesa:  042 cm"/>
    <w:rsid w:val="001803FB"/>
    <w:pPr>
      <w:numPr>
        <w:numId w:val="5"/>
      </w:numPr>
    </w:pPr>
  </w:style>
  <w:style w:type="paragraph" w:styleId="Tabladeilustraciones">
    <w:name w:val="table of figures"/>
    <w:basedOn w:val="Normal"/>
    <w:next w:val="Normal"/>
    <w:semiHidden/>
    <w:rsid w:val="001803FB"/>
    <w:pPr>
      <w:ind w:left="440" w:hanging="440"/>
    </w:pPr>
    <w:rPr>
      <w:smallCaps/>
      <w:sz w:val="20"/>
      <w:szCs w:val="20"/>
      <w:lang w:val="es-CO" w:eastAsia="en-US"/>
    </w:rPr>
  </w:style>
  <w:style w:type="paragraph" w:customStyle="1" w:styleId="EstiloTabladeilustracionesIzquierda0cmSangrafrancesa">
    <w:name w:val="Estilo Tabla de ilustraciones + Izquierda:  0 cm Sangría francesa: ..."/>
    <w:basedOn w:val="Tabladeilustraciones"/>
    <w:rsid w:val="001803FB"/>
    <w:pPr>
      <w:ind w:left="1559" w:hanging="1559"/>
    </w:pPr>
  </w:style>
  <w:style w:type="paragraph" w:styleId="Textoindependiente2">
    <w:name w:val="Body Text 2"/>
    <w:basedOn w:val="Normal"/>
    <w:link w:val="Textoindependiente2Car"/>
    <w:rsid w:val="001803FB"/>
    <w:pPr>
      <w:spacing w:line="360" w:lineRule="auto"/>
      <w:jc w:val="both"/>
    </w:pPr>
    <w:rPr>
      <w:rFonts w:ascii="Arial" w:hAnsi="Arial"/>
      <w:b/>
      <w:i/>
      <w:sz w:val="20"/>
      <w:szCs w:val="20"/>
      <w:lang w:val="es-ES" w:eastAsia="es-CO"/>
    </w:rPr>
  </w:style>
  <w:style w:type="character" w:customStyle="1" w:styleId="Textoindependiente2Car">
    <w:name w:val="Texto independiente 2 Car"/>
    <w:basedOn w:val="Fuentedeprrafopredeter"/>
    <w:link w:val="Textoindependiente2"/>
    <w:rsid w:val="001803FB"/>
    <w:rPr>
      <w:rFonts w:ascii="Arial" w:eastAsia="Times New Roman" w:hAnsi="Arial" w:cs="Times New Roman"/>
      <w:b/>
      <w:i/>
      <w:sz w:val="20"/>
      <w:szCs w:val="20"/>
      <w:lang w:val="es-ES" w:eastAsia="es-CO"/>
    </w:rPr>
  </w:style>
  <w:style w:type="paragraph" w:customStyle="1" w:styleId="tp">
    <w:name w:val="tp"/>
    <w:basedOn w:val="Normal"/>
    <w:rsid w:val="001803FB"/>
    <w:pPr>
      <w:spacing w:line="360" w:lineRule="auto"/>
      <w:jc w:val="both"/>
    </w:pPr>
    <w:rPr>
      <w:rFonts w:ascii="Arial" w:hAnsi="Arial" w:cs="Arial"/>
      <w:sz w:val="20"/>
      <w:szCs w:val="20"/>
      <w:lang w:eastAsia="es-ES"/>
    </w:rPr>
  </w:style>
  <w:style w:type="character" w:styleId="Hipervnculovisitado">
    <w:name w:val="FollowedHyperlink"/>
    <w:rsid w:val="001803FB"/>
    <w:rPr>
      <w:color w:val="800080"/>
      <w:u w:val="single"/>
    </w:rPr>
  </w:style>
  <w:style w:type="paragraph" w:customStyle="1" w:styleId="ttuloX">
    <w:name w:val="título X"/>
    <w:basedOn w:val="Ttulo2"/>
    <w:rsid w:val="001803FB"/>
    <w:pPr>
      <w:keepNext w:val="0"/>
      <w:numPr>
        <w:ilvl w:val="0"/>
        <w:numId w:val="6"/>
      </w:numPr>
      <w:spacing w:before="360" w:after="120"/>
      <w:jc w:val="left"/>
    </w:pPr>
    <w:rPr>
      <w:rFonts w:ascii="Times New Roman" w:hAnsi="Times New Roman"/>
      <w:bCs w:val="0"/>
      <w:i w:val="0"/>
      <w:iCs w:val="0"/>
      <w:caps/>
      <w:szCs w:val="24"/>
      <w:lang w:eastAsia="es-ES"/>
    </w:rPr>
  </w:style>
  <w:style w:type="paragraph" w:customStyle="1" w:styleId="tituloxxx">
    <w:name w:val="titulo x.x.x"/>
    <w:basedOn w:val="Normal"/>
    <w:rsid w:val="001803FB"/>
    <w:pPr>
      <w:keepNext/>
      <w:numPr>
        <w:ilvl w:val="2"/>
        <w:numId w:val="6"/>
      </w:numPr>
      <w:spacing w:before="360" w:after="120"/>
      <w:jc w:val="both"/>
      <w:outlineLvl w:val="1"/>
    </w:pPr>
    <w:rPr>
      <w:rFonts w:cs="Arial"/>
      <w:b/>
      <w:bCs/>
      <w:iCs/>
      <w:caps/>
      <w:lang w:val="es-ES" w:eastAsia="es-ES"/>
    </w:rPr>
  </w:style>
  <w:style w:type="paragraph" w:customStyle="1" w:styleId="tituloXXXX">
    <w:name w:val="titulo X.X.X.X"/>
    <w:basedOn w:val="Normal"/>
    <w:rsid w:val="001803FB"/>
    <w:pPr>
      <w:numPr>
        <w:ilvl w:val="3"/>
        <w:numId w:val="6"/>
      </w:numPr>
      <w:spacing w:before="360" w:after="120"/>
      <w:jc w:val="both"/>
    </w:pPr>
    <w:rPr>
      <w:b/>
      <w:sz w:val="32"/>
      <w:szCs w:val="20"/>
      <w:lang w:val="es-CO" w:eastAsia="es-ES"/>
    </w:rPr>
  </w:style>
  <w:style w:type="paragraph" w:customStyle="1" w:styleId="tituloXX">
    <w:name w:val="titulo X.X"/>
    <w:basedOn w:val="Ttulo2"/>
    <w:rsid w:val="001803FB"/>
    <w:pPr>
      <w:numPr>
        <w:ilvl w:val="0"/>
        <w:numId w:val="0"/>
      </w:numPr>
    </w:pPr>
    <w:rPr>
      <w:rFonts w:ascii="Times New Roman" w:hAnsi="Times New Roman" w:cs="Times New Roman"/>
      <w:bCs w:val="0"/>
      <w:i w:val="0"/>
      <w:iCs w:val="0"/>
      <w:caps/>
      <w:szCs w:val="24"/>
      <w:lang w:val="es-ES_tradnl" w:eastAsia="es-ES"/>
    </w:rPr>
  </w:style>
  <w:style w:type="paragraph" w:customStyle="1" w:styleId="MITx">
    <w:name w:val="MITx"/>
    <w:basedOn w:val="Ttulo1"/>
    <w:rsid w:val="001803FB"/>
    <w:pPr>
      <w:numPr>
        <w:numId w:val="0"/>
      </w:numPr>
      <w:tabs>
        <w:tab w:val="num" w:pos="717"/>
      </w:tabs>
      <w:spacing w:before="480" w:line="360" w:lineRule="auto"/>
      <w:ind w:left="717" w:hanging="377"/>
    </w:pPr>
    <w:rPr>
      <w:rFonts w:ascii="Times New Roman" w:hAnsi="Times New Roman" w:cs="Times New Roman"/>
      <w:lang w:val="es-ES" w:eastAsia="es-ES"/>
    </w:rPr>
  </w:style>
  <w:style w:type="paragraph" w:customStyle="1" w:styleId="parrafovietado1">
    <w:name w:val="parrafo viñetado 1"/>
    <w:basedOn w:val="Textoindependiente2"/>
    <w:rsid w:val="001803FB"/>
    <w:pPr>
      <w:numPr>
        <w:numId w:val="8"/>
      </w:numPr>
      <w:spacing w:before="120" w:after="120" w:line="240" w:lineRule="auto"/>
    </w:pPr>
    <w:rPr>
      <w:rFonts w:ascii="Times New Roman" w:hAnsi="Times New Roman"/>
      <w:b w:val="0"/>
      <w:i w:val="0"/>
      <w:sz w:val="24"/>
      <w:szCs w:val="24"/>
      <w:lang w:eastAsia="es-ES"/>
    </w:rPr>
  </w:style>
  <w:style w:type="paragraph" w:customStyle="1" w:styleId="MITxx">
    <w:name w:val="MITx.x"/>
    <w:basedOn w:val="Ttulo2"/>
    <w:rsid w:val="001803FB"/>
    <w:pPr>
      <w:numPr>
        <w:ilvl w:val="0"/>
        <w:numId w:val="0"/>
      </w:numPr>
      <w:tabs>
        <w:tab w:val="num" w:pos="1845"/>
      </w:tabs>
      <w:spacing w:after="60"/>
      <w:ind w:left="1845" w:hanging="360"/>
    </w:pPr>
    <w:rPr>
      <w:rFonts w:ascii="Times New Roman" w:hAnsi="Times New Roman" w:cs="Times New Roman"/>
      <w:i w:val="0"/>
      <w:iCs w:val="0"/>
      <w:szCs w:val="24"/>
      <w:lang w:val="es-ES" w:eastAsia="es-ES"/>
    </w:rPr>
  </w:style>
  <w:style w:type="paragraph" w:customStyle="1" w:styleId="Parrafovinetado2">
    <w:name w:val="Parrafo vinetado 2"/>
    <w:basedOn w:val="Textoindependiente2"/>
    <w:rsid w:val="001803FB"/>
    <w:pPr>
      <w:numPr>
        <w:numId w:val="7"/>
      </w:numPr>
      <w:spacing w:before="60" w:after="60" w:line="240" w:lineRule="auto"/>
    </w:pPr>
    <w:rPr>
      <w:rFonts w:ascii="Times New Roman" w:hAnsi="Times New Roman"/>
      <w:b w:val="0"/>
      <w:i w:val="0"/>
      <w:sz w:val="24"/>
      <w:szCs w:val="24"/>
      <w:lang w:eastAsia="es-ES"/>
    </w:rPr>
  </w:style>
  <w:style w:type="paragraph" w:customStyle="1" w:styleId="parrafonormal">
    <w:name w:val="parrafo normal"/>
    <w:basedOn w:val="Normal"/>
    <w:rsid w:val="001803FB"/>
    <w:pPr>
      <w:spacing w:before="120" w:after="120"/>
      <w:jc w:val="both"/>
    </w:pPr>
    <w:rPr>
      <w:lang w:val="es-ES" w:eastAsia="es-ES"/>
    </w:rPr>
  </w:style>
  <w:style w:type="paragraph" w:customStyle="1" w:styleId="MITxxx">
    <w:name w:val="MIT x.x.x"/>
    <w:basedOn w:val="Ttulo3"/>
    <w:rsid w:val="001803FB"/>
    <w:pPr>
      <w:numPr>
        <w:ilvl w:val="0"/>
        <w:numId w:val="0"/>
      </w:numPr>
      <w:tabs>
        <w:tab w:val="num" w:pos="2565"/>
      </w:tabs>
      <w:spacing w:before="360" w:after="120"/>
      <w:ind w:left="2565" w:hanging="360"/>
    </w:pPr>
    <w:rPr>
      <w:rFonts w:ascii="Times New Roman" w:hAnsi="Times New Roman" w:cs="Times New Roman"/>
      <w:sz w:val="24"/>
      <w:szCs w:val="24"/>
      <w:lang w:val="es-ES" w:eastAsia="es-ES"/>
    </w:rPr>
  </w:style>
  <w:style w:type="paragraph" w:customStyle="1" w:styleId="MITXXXXX">
    <w:name w:val="MIT X.X.X.X.X"/>
    <w:basedOn w:val="Ttulo5"/>
    <w:rsid w:val="001803FB"/>
    <w:pPr>
      <w:numPr>
        <w:ilvl w:val="0"/>
        <w:numId w:val="0"/>
      </w:numPr>
      <w:tabs>
        <w:tab w:val="num" w:pos="1008"/>
      </w:tabs>
      <w:spacing w:before="120" w:after="120"/>
      <w:ind w:left="1008" w:hanging="1008"/>
    </w:pPr>
    <w:rPr>
      <w:rFonts w:ascii="Times New Roman" w:hAnsi="Times New Roman"/>
      <w:i w:val="0"/>
      <w:iCs w:val="0"/>
      <w:sz w:val="24"/>
      <w:szCs w:val="24"/>
      <w:lang w:val="es-ES" w:eastAsia="es-ES"/>
    </w:rPr>
  </w:style>
  <w:style w:type="paragraph" w:customStyle="1" w:styleId="parrafonumeradox">
    <w:name w:val="parrafo numerado x"/>
    <w:basedOn w:val="Normal"/>
    <w:rsid w:val="001803FB"/>
    <w:pPr>
      <w:tabs>
        <w:tab w:val="num" w:pos="360"/>
      </w:tabs>
      <w:spacing w:before="120" w:after="120"/>
      <w:ind w:left="360" w:hanging="360"/>
      <w:jc w:val="both"/>
    </w:pPr>
    <w:rPr>
      <w:rFonts w:cs="Arial"/>
      <w:szCs w:val="22"/>
      <w:lang w:val="es-ES" w:eastAsia="es-ES"/>
    </w:rPr>
  </w:style>
  <w:style w:type="paragraph" w:customStyle="1" w:styleId="texto">
    <w:name w:val="texto"/>
    <w:basedOn w:val="Normal"/>
    <w:rsid w:val="001803FB"/>
    <w:pPr>
      <w:spacing w:before="120" w:after="120"/>
      <w:jc w:val="both"/>
    </w:pPr>
    <w:rPr>
      <w:szCs w:val="20"/>
      <w:lang w:eastAsia="es-ES"/>
    </w:rPr>
  </w:style>
  <w:style w:type="paragraph" w:customStyle="1" w:styleId="item1">
    <w:name w:val="item1"/>
    <w:basedOn w:val="Normal"/>
    <w:rsid w:val="001803FB"/>
    <w:pPr>
      <w:widowControl w:val="0"/>
      <w:ind w:left="709" w:hanging="709"/>
      <w:jc w:val="both"/>
    </w:pPr>
    <w:rPr>
      <w:szCs w:val="20"/>
      <w:lang w:eastAsia="es-ES"/>
    </w:rPr>
  </w:style>
  <w:style w:type="paragraph" w:customStyle="1" w:styleId="EstiloXdelestilo132">
    <w:name w:val="Estilo X del estilo 1.3.2"/>
    <w:basedOn w:val="Normal"/>
    <w:rsid w:val="001803FB"/>
    <w:pPr>
      <w:numPr>
        <w:numId w:val="9"/>
      </w:numPr>
    </w:pPr>
    <w:rPr>
      <w:sz w:val="20"/>
      <w:szCs w:val="20"/>
      <w:lang w:val="es-ES" w:eastAsia="es-ES"/>
    </w:rPr>
  </w:style>
  <w:style w:type="paragraph" w:customStyle="1" w:styleId="bibliografia">
    <w:name w:val="bibliografia"/>
    <w:basedOn w:val="Normal"/>
    <w:rsid w:val="001803FB"/>
    <w:pPr>
      <w:ind w:left="1134" w:hanging="425"/>
      <w:jc w:val="both"/>
    </w:pPr>
    <w:rPr>
      <w:rFonts w:ascii="Book Antiqua" w:hAnsi="Book Antiqua"/>
      <w:sz w:val="20"/>
      <w:szCs w:val="20"/>
      <w:lang w:eastAsia="es-ES"/>
    </w:rPr>
  </w:style>
  <w:style w:type="paragraph" w:customStyle="1" w:styleId="negrillaarial">
    <w:name w:val="negrillaarial"/>
    <w:rsid w:val="001803FB"/>
    <w:rPr>
      <w:rFonts w:ascii="Arial Narrow" w:eastAsia="Times New Roman" w:hAnsi="Arial Narrow" w:cs="Times New Roman"/>
      <w:b/>
      <w:noProof/>
      <w:sz w:val="18"/>
      <w:szCs w:val="20"/>
      <w:lang w:val="es-ES" w:eastAsia="es-ES"/>
    </w:rPr>
  </w:style>
  <w:style w:type="paragraph" w:customStyle="1" w:styleId="EstilovietaletraTimesNewRoman12pt">
    <w:name w:val="Estilo viñeta letra + Times New Roman 12 pt"/>
    <w:basedOn w:val="Normal"/>
    <w:rsid w:val="001803FB"/>
    <w:pPr>
      <w:numPr>
        <w:numId w:val="10"/>
      </w:numPr>
      <w:spacing w:before="120" w:after="120"/>
      <w:jc w:val="both"/>
    </w:pPr>
    <w:rPr>
      <w:rFonts w:cs="Arial"/>
      <w:b/>
      <w:bCs/>
      <w:szCs w:val="20"/>
      <w:lang w:val="es-ES" w:eastAsia="es-ES"/>
    </w:rPr>
  </w:style>
  <w:style w:type="character" w:customStyle="1" w:styleId="tituloXXCarCar">
    <w:name w:val="titulo X.X Car Car"/>
    <w:rsid w:val="001803FB"/>
    <w:rPr>
      <w:b/>
      <w:sz w:val="32"/>
      <w:szCs w:val="32"/>
      <w:lang w:val="es-ES_tradnl" w:eastAsia="es-ES" w:bidi="ar-SA"/>
    </w:rPr>
  </w:style>
  <w:style w:type="paragraph" w:customStyle="1" w:styleId="1">
    <w:name w:val="1"/>
    <w:basedOn w:val="Normal"/>
    <w:rsid w:val="001803FB"/>
    <w:rPr>
      <w:szCs w:val="20"/>
      <w:lang w:val="es-ES" w:eastAsia="es-ES"/>
    </w:rPr>
  </w:style>
  <w:style w:type="paragraph" w:customStyle="1" w:styleId="estilo35">
    <w:name w:val="estilo35"/>
    <w:basedOn w:val="Normal"/>
    <w:rsid w:val="001803FB"/>
    <w:pPr>
      <w:spacing w:before="100" w:beforeAutospacing="1" w:after="100" w:afterAutospacing="1"/>
    </w:pPr>
    <w:rPr>
      <w:rFonts w:ascii="Arial" w:hAnsi="Arial" w:cs="Arial"/>
      <w:sz w:val="18"/>
      <w:szCs w:val="18"/>
      <w:lang w:val="es-ES" w:eastAsia="es-ES"/>
    </w:rPr>
  </w:style>
  <w:style w:type="paragraph" w:customStyle="1" w:styleId="parrafovietadox">
    <w:name w:val="parrafo viñetado(x)"/>
    <w:basedOn w:val="Textonotapie"/>
    <w:rsid w:val="001803FB"/>
    <w:pPr>
      <w:tabs>
        <w:tab w:val="num" w:pos="717"/>
      </w:tabs>
      <w:spacing w:before="120" w:after="120"/>
      <w:ind w:left="717" w:hanging="360"/>
    </w:pPr>
    <w:rPr>
      <w:rFonts w:ascii="Times New Roman" w:hAnsi="Times New Roman" w:cs="Arial"/>
      <w:sz w:val="24"/>
      <w:lang w:eastAsia="es-ES"/>
    </w:rPr>
  </w:style>
  <w:style w:type="paragraph" w:styleId="TDC5">
    <w:name w:val="toc 5"/>
    <w:basedOn w:val="Normal"/>
    <w:next w:val="Normal"/>
    <w:autoRedefine/>
    <w:uiPriority w:val="39"/>
    <w:semiHidden/>
    <w:rsid w:val="001803FB"/>
    <w:pPr>
      <w:ind w:left="880"/>
    </w:pPr>
    <w:rPr>
      <w:rFonts w:asciiTheme="minorHAnsi" w:hAnsiTheme="minorHAnsi"/>
      <w:sz w:val="20"/>
    </w:rPr>
  </w:style>
  <w:style w:type="paragraph" w:styleId="TDC6">
    <w:name w:val="toc 6"/>
    <w:basedOn w:val="Normal"/>
    <w:next w:val="Normal"/>
    <w:autoRedefine/>
    <w:uiPriority w:val="39"/>
    <w:semiHidden/>
    <w:rsid w:val="001803FB"/>
    <w:pPr>
      <w:ind w:left="1100"/>
    </w:pPr>
    <w:rPr>
      <w:rFonts w:asciiTheme="minorHAnsi" w:hAnsiTheme="minorHAnsi"/>
      <w:sz w:val="20"/>
    </w:rPr>
  </w:style>
  <w:style w:type="paragraph" w:styleId="TDC7">
    <w:name w:val="toc 7"/>
    <w:basedOn w:val="Normal"/>
    <w:next w:val="Normal"/>
    <w:autoRedefine/>
    <w:uiPriority w:val="39"/>
    <w:semiHidden/>
    <w:rsid w:val="001803FB"/>
    <w:pPr>
      <w:ind w:left="1320"/>
    </w:pPr>
    <w:rPr>
      <w:rFonts w:asciiTheme="minorHAnsi" w:hAnsiTheme="minorHAnsi"/>
      <w:sz w:val="20"/>
    </w:rPr>
  </w:style>
  <w:style w:type="paragraph" w:styleId="TDC8">
    <w:name w:val="toc 8"/>
    <w:basedOn w:val="Normal"/>
    <w:next w:val="Normal"/>
    <w:autoRedefine/>
    <w:uiPriority w:val="39"/>
    <w:semiHidden/>
    <w:rsid w:val="001803FB"/>
    <w:pPr>
      <w:ind w:left="1540"/>
    </w:pPr>
    <w:rPr>
      <w:rFonts w:asciiTheme="minorHAnsi" w:hAnsiTheme="minorHAnsi"/>
      <w:sz w:val="20"/>
    </w:rPr>
  </w:style>
  <w:style w:type="paragraph" w:styleId="TDC9">
    <w:name w:val="toc 9"/>
    <w:basedOn w:val="Normal"/>
    <w:next w:val="Normal"/>
    <w:autoRedefine/>
    <w:uiPriority w:val="39"/>
    <w:semiHidden/>
    <w:rsid w:val="001803FB"/>
    <w:pPr>
      <w:ind w:left="1760"/>
    </w:pPr>
    <w:rPr>
      <w:rFonts w:asciiTheme="minorHAnsi" w:hAnsiTheme="minorHAnsi"/>
      <w:sz w:val="20"/>
    </w:rPr>
  </w:style>
  <w:style w:type="table" w:customStyle="1" w:styleId="Estilo1">
    <w:name w:val="Estilo1"/>
    <w:basedOn w:val="Tablanormal"/>
    <w:rsid w:val="001803FB"/>
    <w:rPr>
      <w:rFonts w:ascii="Humanst521 BT" w:eastAsia="Times New Roman" w:hAnsi="Humanst521 BT" w:cs="Times New Roman"/>
      <w:sz w:val="20"/>
      <w:szCs w:val="20"/>
      <w:lang w:eastAsia="es-ES_tradnl"/>
    </w:rPr>
    <w:tblPr>
      <w:tblInd w:w="0" w:type="dxa"/>
      <w:tblCellMar>
        <w:top w:w="0" w:type="dxa"/>
        <w:left w:w="108" w:type="dxa"/>
        <w:bottom w:w="0" w:type="dxa"/>
        <w:right w:w="108" w:type="dxa"/>
      </w:tblCellMar>
    </w:tblPr>
  </w:style>
  <w:style w:type="table" w:customStyle="1" w:styleId="Estilo2">
    <w:name w:val="Estilo2"/>
    <w:basedOn w:val="Tablanormal"/>
    <w:rsid w:val="001803FB"/>
    <w:rPr>
      <w:rFonts w:ascii="Times New Roman" w:eastAsia="Times New Roman" w:hAnsi="Times New Roman" w:cs="Times New Roman"/>
      <w:sz w:val="20"/>
      <w:szCs w:val="20"/>
      <w:lang w:eastAsia="es-ES_tradnl"/>
    </w:rPr>
    <w:tblPr>
      <w:tblInd w:w="0" w:type="dxa"/>
      <w:tblCellMar>
        <w:top w:w="0" w:type="dxa"/>
        <w:left w:w="108" w:type="dxa"/>
        <w:bottom w:w="0" w:type="dxa"/>
        <w:right w:w="108" w:type="dxa"/>
      </w:tblCellMar>
    </w:tblPr>
    <w:tblStylePr w:type="firstRow">
      <w:rPr>
        <w:rFonts w:ascii="Calibri" w:hAnsi="Calibri"/>
        <w:sz w:val="20"/>
      </w:rPr>
    </w:tblStylePr>
  </w:style>
  <w:style w:type="table" w:customStyle="1" w:styleId="Estilo3">
    <w:name w:val="Estilo3"/>
    <w:basedOn w:val="Estilo1"/>
    <w:rsid w:val="001803FB"/>
    <w:tblPr>
      <w:tblInd w:w="0" w:type="dxa"/>
      <w:tblCellMar>
        <w:top w:w="0" w:type="dxa"/>
        <w:left w:w="108" w:type="dxa"/>
        <w:bottom w:w="0" w:type="dxa"/>
        <w:right w:w="108" w:type="dxa"/>
      </w:tblCellMar>
    </w:tblPr>
  </w:style>
  <w:style w:type="table" w:customStyle="1" w:styleId="Estilo4">
    <w:name w:val="Estilo4"/>
    <w:basedOn w:val="Estilo3"/>
    <w:rsid w:val="001803FB"/>
    <w:tblPr>
      <w:tblInd w:w="0" w:type="dxa"/>
      <w:tblCellMar>
        <w:top w:w="0" w:type="dxa"/>
        <w:left w:w="108" w:type="dxa"/>
        <w:bottom w:w="0" w:type="dxa"/>
        <w:right w:w="108" w:type="dxa"/>
      </w:tblCellMar>
    </w:tblPr>
    <w:tblStylePr w:type="firstRow">
      <w:rPr>
        <w:rFonts w:ascii="Calibri" w:hAnsi="Calibri"/>
        <w:sz w:val="20"/>
      </w:rPr>
    </w:tblStylePr>
  </w:style>
  <w:style w:type="table" w:styleId="Tablabsica2">
    <w:name w:val="Table Simple 2"/>
    <w:basedOn w:val="Tablanormal"/>
    <w:rsid w:val="001803FB"/>
    <w:pPr>
      <w:spacing w:after="120"/>
      <w:jc w:val="both"/>
    </w:pPr>
    <w:rPr>
      <w:rFonts w:ascii="Times New Roman" w:eastAsia="Times New Roman" w:hAnsi="Times New Roman" w:cs="Times New Roman"/>
      <w:sz w:val="20"/>
      <w:szCs w:val="20"/>
      <w:lang w:eastAsia="es-ES_tradn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AFUENTETABLA">
    <w:name w:val="AFUENTE+TABLA"/>
    <w:basedOn w:val="Tablanormal"/>
    <w:rsid w:val="001803FB"/>
    <w:rPr>
      <w:rFonts w:ascii="Times New Roman" w:eastAsia="Times New Roman" w:hAnsi="Times New Roman" w:cs="Times New Roman"/>
      <w:sz w:val="20"/>
      <w:szCs w:val="20"/>
      <w:lang w:eastAsia="es-ES_tradnl"/>
    </w:rPr>
    <w:tblPr>
      <w:tblInd w:w="0" w:type="dxa"/>
      <w:tblCellMar>
        <w:top w:w="0" w:type="dxa"/>
        <w:left w:w="108" w:type="dxa"/>
        <w:bottom w:w="0" w:type="dxa"/>
        <w:right w:w="108" w:type="dxa"/>
      </w:tblCellMar>
    </w:tblPr>
  </w:style>
  <w:style w:type="paragraph" w:customStyle="1" w:styleId="AFUENTESTABLASYFIGURAS">
    <w:name w:val="AFUENTES TABLAS Y FIGURAS"/>
    <w:basedOn w:val="tabla"/>
    <w:rsid w:val="001803FB"/>
    <w:rPr>
      <w:kern w:val="28"/>
    </w:rPr>
  </w:style>
  <w:style w:type="paragraph" w:customStyle="1" w:styleId="Estilo5">
    <w:name w:val="Estilo5"/>
    <w:basedOn w:val="AFUENTESTABLASYFIGURAS"/>
    <w:next w:val="Continuarlista"/>
    <w:autoRedefine/>
    <w:rsid w:val="001803FB"/>
    <w:rPr>
      <w:b w:val="0"/>
    </w:rPr>
  </w:style>
  <w:style w:type="paragraph" w:customStyle="1" w:styleId="AFUENTESTABLAS">
    <w:name w:val="AFUENTES TABLAS"/>
    <w:basedOn w:val="Normal"/>
    <w:next w:val="Tabladeilustraciones"/>
    <w:autoRedefine/>
    <w:rsid w:val="001803FB"/>
    <w:pPr>
      <w:spacing w:after="120"/>
      <w:jc w:val="center"/>
    </w:pPr>
    <w:rPr>
      <w:rFonts w:ascii="Humanst521 BT" w:hAnsi="Humanst521 BT"/>
      <w:kern w:val="28"/>
      <w:sz w:val="20"/>
      <w:szCs w:val="20"/>
      <w:lang w:val="es-CO" w:eastAsia="en-US"/>
    </w:rPr>
  </w:style>
  <w:style w:type="paragraph" w:styleId="Continuarlista">
    <w:name w:val="List Continue"/>
    <w:basedOn w:val="Normal"/>
    <w:rsid w:val="001803FB"/>
    <w:pPr>
      <w:spacing w:after="120"/>
      <w:ind w:left="283"/>
      <w:jc w:val="both"/>
    </w:pPr>
    <w:rPr>
      <w:rFonts w:ascii="Humanst521 BT" w:hAnsi="Humanst521 BT"/>
      <w:sz w:val="22"/>
      <w:szCs w:val="20"/>
      <w:lang w:val="es-CO" w:eastAsia="en-US"/>
    </w:rPr>
  </w:style>
  <w:style w:type="paragraph" w:customStyle="1" w:styleId="References">
    <w:name w:val="References"/>
    <w:basedOn w:val="Listaconnmeros"/>
    <w:rsid w:val="001803FB"/>
    <w:pPr>
      <w:numPr>
        <w:numId w:val="5"/>
      </w:numPr>
      <w:spacing w:after="0"/>
      <w:ind w:left="1209"/>
    </w:pPr>
    <w:rPr>
      <w:rFonts w:ascii="Times New Roman" w:hAnsi="Times New Roman"/>
      <w:sz w:val="16"/>
    </w:rPr>
  </w:style>
  <w:style w:type="paragraph" w:styleId="Listaconnmeros">
    <w:name w:val="List Number"/>
    <w:basedOn w:val="Normal"/>
    <w:rsid w:val="001803FB"/>
    <w:pPr>
      <w:numPr>
        <w:numId w:val="13"/>
      </w:numPr>
      <w:spacing w:after="120"/>
      <w:jc w:val="both"/>
    </w:pPr>
    <w:rPr>
      <w:rFonts w:ascii="Humanst521 BT" w:hAnsi="Humanst521 BT"/>
      <w:sz w:val="22"/>
      <w:szCs w:val="20"/>
      <w:lang w:val="es-CO" w:eastAsia="en-US"/>
    </w:rPr>
  </w:style>
  <w:style w:type="paragraph" w:styleId="Prrafodelista">
    <w:name w:val="List Paragraph"/>
    <w:basedOn w:val="Normal"/>
    <w:uiPriority w:val="34"/>
    <w:qFormat/>
    <w:rsid w:val="001803FB"/>
    <w:pPr>
      <w:ind w:left="720"/>
      <w:contextualSpacing/>
    </w:pPr>
    <w:rPr>
      <w:rFonts w:eastAsia="Calibri"/>
    </w:rPr>
  </w:style>
  <w:style w:type="paragraph" w:styleId="NormalWeb">
    <w:name w:val="Normal (Web)"/>
    <w:basedOn w:val="Normal"/>
    <w:uiPriority w:val="99"/>
    <w:unhideWhenUsed/>
    <w:rsid w:val="001803FB"/>
    <w:pPr>
      <w:spacing w:before="100" w:beforeAutospacing="1" w:after="100" w:afterAutospacing="1"/>
    </w:pPr>
    <w:rPr>
      <w:rFonts w:eastAsia="Calibri"/>
    </w:rPr>
  </w:style>
  <w:style w:type="character" w:customStyle="1" w:styleId="A13">
    <w:name w:val="A13"/>
    <w:uiPriority w:val="99"/>
    <w:rsid w:val="001803FB"/>
    <w:rPr>
      <w:rFonts w:cs="Garamond 3 LT Std"/>
      <w:b/>
      <w:bCs/>
      <w:color w:val="000000"/>
      <w:sz w:val="56"/>
      <w:szCs w:val="56"/>
    </w:rPr>
  </w:style>
  <w:style w:type="paragraph" w:customStyle="1" w:styleId="Predeterminado">
    <w:name w:val="Predeterminado"/>
    <w:rsid w:val="001803FB"/>
    <w:pPr>
      <w:widowControl w:val="0"/>
      <w:autoSpaceDE w:val="0"/>
      <w:autoSpaceDN w:val="0"/>
      <w:adjustRightInd w:val="0"/>
    </w:pPr>
    <w:rPr>
      <w:rFonts w:ascii="Times New Roman" w:eastAsiaTheme="minorEastAsia" w:hAnsi="Times New Roman" w:cs="Times New Roman"/>
      <w:sz w:val="20"/>
      <w:szCs w:val="20"/>
      <w:lang w:val="es-CO" w:eastAsia="es-CO"/>
    </w:rPr>
  </w:style>
  <w:style w:type="paragraph" w:styleId="TtulodeTDC">
    <w:name w:val="TOC Heading"/>
    <w:basedOn w:val="Ttulo1"/>
    <w:next w:val="Normal"/>
    <w:uiPriority w:val="39"/>
    <w:unhideWhenUsed/>
    <w:qFormat/>
    <w:rsid w:val="001803FB"/>
    <w:pPr>
      <w:keepLines/>
      <w:numPr>
        <w:numId w:val="0"/>
      </w:numPr>
      <w:spacing w:before="480" w:after="0" w:line="276" w:lineRule="auto"/>
      <w:jc w:val="left"/>
      <w:outlineLvl w:val="9"/>
    </w:pPr>
    <w:rPr>
      <w:rFonts w:asciiTheme="majorHAnsi" w:eastAsiaTheme="majorEastAsia" w:hAnsiTheme="majorHAnsi" w:cstheme="majorBidi"/>
      <w:color w:val="2E74B5" w:themeColor="accent1" w:themeShade="BF"/>
      <w:kern w:val="0"/>
      <w:sz w:val="28"/>
      <w:szCs w:val="28"/>
      <w:lang w:val="es-ES_tradnl" w:eastAsia="es-ES_tradnl"/>
    </w:rPr>
  </w:style>
  <w:style w:type="character" w:customStyle="1" w:styleId="apple-converted-space">
    <w:name w:val="apple-converted-space"/>
    <w:basedOn w:val="Fuentedeprrafopredeter"/>
    <w:rsid w:val="001803FB"/>
  </w:style>
  <w:style w:type="character" w:styleId="nfasis">
    <w:name w:val="Emphasis"/>
    <w:basedOn w:val="Fuentedeprrafopredeter"/>
    <w:uiPriority w:val="20"/>
    <w:qFormat/>
    <w:rsid w:val="001803FB"/>
    <w:rPr>
      <w:i/>
      <w:iCs/>
    </w:rPr>
  </w:style>
  <w:style w:type="paragraph" w:styleId="Textodeglobo">
    <w:name w:val="Balloon Text"/>
    <w:basedOn w:val="Normal"/>
    <w:link w:val="TextodegloboCar"/>
    <w:rsid w:val="001803FB"/>
    <w:rPr>
      <w:rFonts w:ascii="Tahoma" w:hAnsi="Tahoma" w:cs="Tahoma"/>
      <w:sz w:val="16"/>
      <w:szCs w:val="16"/>
    </w:rPr>
  </w:style>
  <w:style w:type="character" w:customStyle="1" w:styleId="TextodegloboCar">
    <w:name w:val="Texto de globo Car"/>
    <w:basedOn w:val="Fuentedeprrafopredeter"/>
    <w:link w:val="Textodeglobo"/>
    <w:rsid w:val="001803FB"/>
    <w:rPr>
      <w:rFonts w:ascii="Tahoma" w:eastAsia="Times New Roman" w:hAnsi="Tahoma" w:cs="Tahoma"/>
      <w:sz w:val="16"/>
      <w:szCs w:val="1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21296</Words>
  <Characters>117134</Characters>
  <Application>Microsoft Macintosh Word</Application>
  <DocSecurity>0</DocSecurity>
  <Lines>976</Lines>
  <Paragraphs>276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138154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2017-08-09T22:11:00Z</dcterms:created>
  <dcterms:modified xsi:type="dcterms:W3CDTF">2017-08-09T22:11:00Z</dcterms:modified>
</cp:coreProperties>
</file>