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INSTRUCCIONES PARA LOS AUTORES</w:t>
      </w:r>
    </w:p>
    <w:p w:rsidR="00000000" w:rsidDel="00000000" w:rsidP="00000000" w:rsidRDefault="00000000" w:rsidRPr="00000000" w14:paraId="00000002">
      <w:pPr>
        <w:spacing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23" w:line="248.00000000000006" w:lineRule="auto"/>
        <w:ind w:left="-5" w:righ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Congreso Internacional CLADEA 2022 cuyo tema es </w:t>
      </w:r>
      <w:r w:rsidDel="00000000" w:rsidR="00000000" w:rsidRPr="00000000">
        <w:rPr>
          <w:rFonts w:ascii="Times New Roman" w:cs="Times New Roman" w:eastAsia="Times New Roman" w:hAnsi="Times New Roman"/>
          <w:i w:val="1"/>
          <w:sz w:val="24"/>
          <w:szCs w:val="24"/>
          <w:rtl w:val="0"/>
        </w:rPr>
        <w:t xml:space="preserve">“Construyendo desde las Escuelas de Negocios un futuro con equidad y sostenibilidad”</w:t>
      </w:r>
      <w:r w:rsidDel="00000000" w:rsidR="00000000" w:rsidRPr="00000000">
        <w:rPr>
          <w:rFonts w:ascii="Times New Roman" w:cs="Times New Roman" w:eastAsia="Times New Roman" w:hAnsi="Times New Roman"/>
          <w:sz w:val="24"/>
          <w:szCs w:val="24"/>
          <w:rtl w:val="0"/>
        </w:rPr>
        <w:t xml:space="preserve"> busca artículos procurando integrar el conocimiento académico con la realidad empresarial. Se han programado los siguientes Tracks, que servirán de ejes de las prioridades temáticas de este año para presentar sus investigaciones: </w:t>
      </w:r>
    </w:p>
    <w:p w:rsidR="00000000" w:rsidDel="00000000" w:rsidP="00000000" w:rsidRDefault="00000000" w:rsidRPr="00000000" w14:paraId="00000004">
      <w:pPr>
        <w:spacing w:line="259"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8495.0" w:type="dxa"/>
        <w:jc w:val="center"/>
        <w:tblLayout w:type="fixed"/>
        <w:tblLook w:val="0400"/>
      </w:tblPr>
      <w:tblGrid>
        <w:gridCol w:w="1076"/>
        <w:gridCol w:w="7419"/>
        <w:tblGridChange w:id="0">
          <w:tblGrid>
            <w:gridCol w:w="1076"/>
            <w:gridCol w:w="7419"/>
          </w:tblGrid>
        </w:tblGridChange>
      </w:tblGrid>
      <w:tr>
        <w:trPr>
          <w:cantSplit w:val="0"/>
          <w:trHeight w:val="272" w:hRule="atLeast"/>
          <w:tblHeader w:val="0"/>
        </w:trPr>
        <w:tc>
          <w:tcPr>
            <w:tcBorders>
              <w:top w:color="2e74b5" w:space="0" w:sz="8" w:val="single"/>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05">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1 </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06">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Economía y Finanzas</w:t>
            </w:r>
            <w:r w:rsidDel="00000000" w:rsidR="00000000" w:rsidRPr="00000000">
              <w:rPr>
                <w:rtl w:val="0"/>
              </w:rPr>
            </w:r>
          </w:p>
        </w:tc>
      </w:tr>
      <w:tr>
        <w:trPr>
          <w:cantSplit w:val="0"/>
          <w:trHeight w:val="257"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07">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08">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Gestión del Talento Humano y Comportamiento Organizacional</w:t>
            </w:r>
            <w:r w:rsidDel="00000000" w:rsidR="00000000" w:rsidRPr="00000000">
              <w:rPr>
                <w:rtl w:val="0"/>
              </w:rPr>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09">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0A">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Responsabilidad Social</w:t>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0B">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0C">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Emprendimiento</w:t>
            </w:r>
            <w:r w:rsidDel="00000000" w:rsidR="00000000" w:rsidRPr="00000000">
              <w:rPr>
                <w:rtl w:val="0"/>
              </w:rPr>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0D">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0E">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Gestión de Proyectos</w:t>
            </w:r>
          </w:p>
        </w:tc>
      </w:tr>
      <w:tr>
        <w:trPr>
          <w:cantSplit w:val="0"/>
          <w:trHeight w:val="257"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0F">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10">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Marketing</w:t>
            </w:r>
            <w:r w:rsidDel="00000000" w:rsidR="00000000" w:rsidRPr="00000000">
              <w:rPr>
                <w:rtl w:val="0"/>
              </w:rPr>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11">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7</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12">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Dirección General y Estrategia</w:t>
            </w:r>
            <w:r w:rsidDel="00000000" w:rsidR="00000000" w:rsidRPr="00000000">
              <w:rPr>
                <w:rtl w:val="0"/>
              </w:rPr>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13">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14">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Innovación y Gestión de la Innovación</w:t>
            </w:r>
            <w:r w:rsidDel="00000000" w:rsidR="00000000" w:rsidRPr="00000000">
              <w:rPr>
                <w:rtl w:val="0"/>
              </w:rPr>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15">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16">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Nuevas Perspectivas de Enseñanza y Aprendizaje en las Escuelas de Negocios</w:t>
            </w:r>
          </w:p>
        </w:tc>
      </w:tr>
      <w:tr>
        <w:trPr>
          <w:cantSplit w:val="0"/>
          <w:trHeight w:val="257"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17">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10</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18">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Tecnologías de la Información</w:t>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19">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ffffff"/>
                <w:sz w:val="24"/>
                <w:szCs w:val="24"/>
                <w:rtl w:val="0"/>
              </w:rPr>
              <w:t xml:space="preserve">Track 11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1A">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Casos</w:t>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1B">
            <w:pPr>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Track 12</w:t>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1C">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Cadena de Suministros Globales y Regionales</w:t>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1D">
            <w:pPr>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Track 13</w:t>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1E">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Internacionalización de Empresas y Negocios Globales</w:t>
            </w:r>
          </w:p>
        </w:tc>
      </w:tr>
      <w:tr>
        <w:trPr>
          <w:cantSplit w:val="0"/>
          <w:trHeight w:val="272" w:hRule="atLeast"/>
          <w:tblHeader w:val="0"/>
        </w:trPr>
        <w:tc>
          <w:tcPr>
            <w:tcBorders>
              <w:top w:color="000000" w:space="0" w:sz="0" w:val="nil"/>
              <w:left w:color="2e74b5" w:space="0" w:sz="8" w:val="single"/>
              <w:bottom w:color="2e74b5" w:space="0" w:sz="8" w:val="single"/>
              <w:right w:color="2e74b5" w:space="0" w:sz="8" w:val="single"/>
            </w:tcBorders>
            <w:shd w:fill="2e74b5" w:val="clear"/>
            <w:tcMar>
              <w:top w:w="0.0" w:type="dxa"/>
              <w:left w:w="108.0" w:type="dxa"/>
              <w:bottom w:w="0.0" w:type="dxa"/>
              <w:right w:w="108.0" w:type="dxa"/>
            </w:tcMar>
          </w:tcPr>
          <w:p w:rsidR="00000000" w:rsidDel="00000000" w:rsidP="00000000" w:rsidRDefault="00000000" w:rsidRPr="00000000" w14:paraId="0000001F">
            <w:pPr>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Track 14</w:t>
            </w:r>
          </w:p>
        </w:tc>
        <w:tc>
          <w:tcPr>
            <w:tcBorders>
              <w:top w:color="000000" w:space="0" w:sz="0" w:val="nil"/>
              <w:left w:color="000000" w:space="0" w:sz="0" w:val="nil"/>
              <w:bottom w:color="2e74b5" w:space="0" w:sz="8" w:val="single"/>
              <w:right w:color="2e74b5" w:space="0" w:sz="8" w:val="single"/>
            </w:tcBorders>
            <w:shd w:fill="ffffff" w:val="clear"/>
            <w:tcMar>
              <w:top w:w="0.0" w:type="dxa"/>
              <w:left w:w="108.0" w:type="dxa"/>
              <w:bottom w:w="0.0" w:type="dxa"/>
              <w:right w:w="108.0" w:type="dxa"/>
            </w:tcMar>
          </w:tcPr>
          <w:p w:rsidR="00000000" w:rsidDel="00000000" w:rsidP="00000000" w:rsidRDefault="00000000" w:rsidRPr="00000000" w14:paraId="00000020">
            <w:pP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Política</w:t>
            </w:r>
          </w:p>
        </w:tc>
      </w:tr>
    </w:tbl>
    <w:p w:rsidR="00000000" w:rsidDel="00000000" w:rsidP="00000000" w:rsidRDefault="00000000" w:rsidRPr="00000000" w14:paraId="00000021">
      <w:pPr>
        <w:spacing w:line="259" w:lineRule="auto"/>
        <w:ind w:right="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69" w:line="248.00000000000006" w:lineRule="auto"/>
        <w:ind w:left="-5" w:righ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trabajos deben ser originales y cumplir con los criterios internacionales que garantizan la calidad académica. El contenido de los trabajos queda bajo responsabilidad exclusiva de los autores. </w:t>
      </w:r>
    </w:p>
    <w:p w:rsidR="00000000" w:rsidDel="00000000" w:rsidP="00000000" w:rsidRDefault="00000000" w:rsidRPr="00000000" w14:paraId="00000023">
      <w:pPr>
        <w:pStyle w:val="Heading1"/>
        <w:spacing w:after="78" w:before="0" w:line="259" w:lineRule="auto"/>
        <w:ind w:left="152" w:right="144"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OPCIONES DE PUBLICACIÓN</w:t>
      </w:r>
    </w:p>
    <w:p w:rsidR="00000000" w:rsidDel="00000000" w:rsidP="00000000" w:rsidRDefault="00000000" w:rsidRPr="00000000" w14:paraId="00000024">
      <w:pPr>
        <w:spacing w:line="248.00000000000006" w:lineRule="auto"/>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mejores papers serán propuestos a las revistas, estas tomarán la decisión de invitarlos a los fast Tracks para su futura publicación</w:t>
      </w:r>
    </w:p>
    <w:p w:rsidR="00000000" w:rsidDel="00000000" w:rsidP="00000000" w:rsidRDefault="00000000" w:rsidRPr="00000000" w14:paraId="00000025">
      <w:pPr>
        <w:spacing w:line="248.00000000000006" w:lineRule="auto"/>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8.00000000000006"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la 57° Congreso Internacional Anual CLADEA, </w:t>
      </w:r>
      <w:r w:rsidDel="00000000" w:rsidR="00000000" w:rsidRPr="00000000">
        <w:rPr>
          <w:rFonts w:ascii="Times New Roman" w:cs="Times New Roman" w:eastAsia="Times New Roman" w:hAnsi="Times New Roman"/>
          <w:rtl w:val="0"/>
        </w:rPr>
        <w:t xml:space="preserve">poseemos las siguientes revistas asociadas.</w:t>
      </w:r>
    </w:p>
    <w:p w:rsidR="00000000" w:rsidDel="00000000" w:rsidP="00000000" w:rsidRDefault="00000000" w:rsidRPr="00000000" w14:paraId="00000027">
      <w:pPr>
        <w:spacing w:line="248.00000000000006" w:lineRule="auto"/>
        <w:ind w:left="-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7"/>
        </w:numPr>
        <w:spacing w:after="10" w:line="24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Journal of Economic, Finance and Administration, JEFAS </w:t>
      </w:r>
    </w:p>
    <w:p w:rsidR="00000000" w:rsidDel="00000000" w:rsidP="00000000" w:rsidRDefault="00000000" w:rsidRPr="00000000" w14:paraId="00000029">
      <w:pPr>
        <w:numPr>
          <w:ilvl w:val="0"/>
          <w:numId w:val="7"/>
        </w:numPr>
        <w:spacing w:after="10" w:line="248.0000000000000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Academia Revista Latinoamericana de Administración, ARLA</w:t>
      </w:r>
    </w:p>
    <w:p w:rsidR="00000000" w:rsidDel="00000000" w:rsidP="00000000" w:rsidRDefault="00000000" w:rsidRPr="00000000" w14:paraId="0000002A">
      <w:pPr>
        <w:numPr>
          <w:ilvl w:val="0"/>
          <w:numId w:val="7"/>
        </w:numPr>
        <w:spacing w:after="10" w:line="248.0000000000000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Revista Estudios Gerenciales</w:t>
      </w:r>
    </w:p>
    <w:p w:rsidR="00000000" w:rsidDel="00000000" w:rsidP="00000000" w:rsidRDefault="00000000" w:rsidRPr="00000000" w14:paraId="0000002B">
      <w:pPr>
        <w:numPr>
          <w:ilvl w:val="0"/>
          <w:numId w:val="7"/>
        </w:numPr>
        <w:spacing w:after="10" w:line="248.00000000000006"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Economy and Innovation Journal, ESIC</w:t>
      </w:r>
    </w:p>
    <w:p w:rsidR="00000000" w:rsidDel="00000000" w:rsidP="00000000" w:rsidRDefault="00000000" w:rsidRPr="00000000" w14:paraId="0000002C">
      <w:pPr>
        <w:numPr>
          <w:ilvl w:val="0"/>
          <w:numId w:val="7"/>
        </w:numPr>
        <w:spacing w:after="10" w:line="248.00000000000006" w:lineRule="auto"/>
        <w:ind w:left="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Bottom Line Journal, TBL</w:t>
      </w:r>
    </w:p>
    <w:p w:rsidR="00000000" w:rsidDel="00000000" w:rsidP="00000000" w:rsidRDefault="00000000" w:rsidRPr="00000000" w14:paraId="0000002D">
      <w:pPr>
        <w:numPr>
          <w:ilvl w:val="0"/>
          <w:numId w:val="7"/>
        </w:numPr>
        <w:spacing w:after="10" w:line="248.00000000000006" w:lineRule="auto"/>
        <w:ind w:left="720"/>
        <w:rPr>
          <w:b w:val="1"/>
        </w:rPr>
      </w:pPr>
      <w:r w:rsidDel="00000000" w:rsidR="00000000" w:rsidRPr="00000000">
        <w:rPr>
          <w:rFonts w:ascii="Times New Roman" w:cs="Times New Roman" w:eastAsia="Times New Roman" w:hAnsi="Times New Roman"/>
          <w:rtl w:val="0"/>
        </w:rPr>
        <w:t xml:space="preserve">Revista d</w:t>
      </w:r>
      <w:r w:rsidDel="00000000" w:rsidR="00000000" w:rsidRPr="00000000">
        <w:rPr>
          <w:rFonts w:ascii="Times New Roman" w:cs="Times New Roman" w:eastAsia="Times New Roman" w:hAnsi="Times New Roman"/>
          <w:color w:val="222222"/>
          <w:rtl w:val="0"/>
        </w:rPr>
        <w:t xml:space="preserve">e Administración de Empresas, RAE</w:t>
      </w:r>
      <w:r w:rsidDel="00000000" w:rsidR="00000000" w:rsidRPr="00000000">
        <w:rPr>
          <w:rFonts w:ascii="Times New Roman" w:cs="Times New Roman" w:eastAsia="Times New Roman" w:hAnsi="Times New Roman"/>
          <w:b w:val="1"/>
          <w:color w:val="222222"/>
          <w:rtl w:val="0"/>
        </w:rPr>
        <w:t xml:space="preserve"> </w:t>
      </w:r>
    </w:p>
    <w:p w:rsidR="00000000" w:rsidDel="00000000" w:rsidP="00000000" w:rsidRDefault="00000000" w:rsidRPr="00000000" w14:paraId="0000002E">
      <w:pPr>
        <w:numPr>
          <w:ilvl w:val="0"/>
          <w:numId w:val="7"/>
        </w:numPr>
        <w:spacing w:after="10" w:line="248.00000000000006" w:lineRule="auto"/>
        <w:ind w:left="720"/>
        <w:rPr>
          <w:b w:val="1"/>
          <w:color w:val="222222"/>
        </w:rPr>
      </w:pPr>
      <w:r w:rsidDel="00000000" w:rsidR="00000000" w:rsidRPr="00000000">
        <w:rPr>
          <w:rFonts w:ascii="Times New Roman" w:cs="Times New Roman" w:eastAsia="Times New Roman" w:hAnsi="Times New Roman"/>
          <w:color w:val="222222"/>
          <w:rtl w:val="0"/>
        </w:rPr>
        <w:t xml:space="preserve">Revista Ibero-Americana de Estratégia, RIAE</w:t>
      </w:r>
      <w:r w:rsidDel="00000000" w:rsidR="00000000" w:rsidRPr="00000000">
        <w:rPr>
          <w:rFonts w:ascii="Times New Roman" w:cs="Times New Roman" w:eastAsia="Times New Roman" w:hAnsi="Times New Roman"/>
          <w:b w:val="1"/>
          <w:color w:val="222222"/>
          <w:rtl w:val="0"/>
        </w:rPr>
        <w:t xml:space="preserve"> </w:t>
      </w:r>
    </w:p>
    <w:p w:rsidR="00000000" w:rsidDel="00000000" w:rsidP="00000000" w:rsidRDefault="00000000" w:rsidRPr="00000000" w14:paraId="0000002F">
      <w:pPr>
        <w:numPr>
          <w:ilvl w:val="0"/>
          <w:numId w:val="7"/>
        </w:numPr>
        <w:spacing w:after="10" w:line="248.0000000000000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Bra</w:t>
      </w:r>
      <w:r w:rsidDel="00000000" w:rsidR="00000000" w:rsidRPr="00000000">
        <w:rPr>
          <w:rFonts w:ascii="Times New Roman" w:cs="Times New Roman" w:eastAsia="Times New Roman" w:hAnsi="Times New Roman"/>
          <w:color w:val="222222"/>
          <w:rtl w:val="0"/>
        </w:rPr>
        <w:t xml:space="preserve">zilian Administration Review, BAR </w:t>
      </w:r>
    </w:p>
    <w:p w:rsidR="00000000" w:rsidDel="00000000" w:rsidP="00000000" w:rsidRDefault="00000000" w:rsidRPr="00000000" w14:paraId="00000030">
      <w:pPr>
        <w:numPr>
          <w:ilvl w:val="0"/>
          <w:numId w:val="7"/>
        </w:numPr>
        <w:spacing w:after="10" w:line="248.0000000000000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Journal of Business Research, JBR </w:t>
      </w:r>
    </w:p>
    <w:p w:rsidR="00000000" w:rsidDel="00000000" w:rsidP="00000000" w:rsidRDefault="00000000" w:rsidRPr="00000000" w14:paraId="00000031">
      <w:pPr>
        <w:numPr>
          <w:ilvl w:val="0"/>
          <w:numId w:val="7"/>
        </w:numPr>
        <w:spacing w:line="259"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Revista Brasileira de Gestão de Negócios, RBGN </w:t>
      </w:r>
    </w:p>
    <w:p w:rsidR="00000000" w:rsidDel="00000000" w:rsidP="00000000" w:rsidRDefault="00000000" w:rsidRPr="00000000" w14:paraId="00000032">
      <w:pPr>
        <w:numPr>
          <w:ilvl w:val="0"/>
          <w:numId w:val="7"/>
        </w:numPr>
        <w:spacing w:line="259"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Revista Gestão &amp; Tecnologia, G&amp;T </w:t>
      </w:r>
    </w:p>
    <w:p w:rsidR="00000000" w:rsidDel="00000000" w:rsidP="00000000" w:rsidRDefault="00000000" w:rsidRPr="00000000" w14:paraId="00000033">
      <w:pPr>
        <w:numPr>
          <w:ilvl w:val="0"/>
          <w:numId w:val="7"/>
        </w:numPr>
        <w:spacing w:after="10" w:line="248.00000000000006" w:lineRule="auto"/>
        <w:ind w:left="720" w:hanging="36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4">
      <w:pPr>
        <w:numPr>
          <w:ilvl w:val="0"/>
          <w:numId w:val="7"/>
        </w:numPr>
        <w:spacing w:after="10" w:line="248.00000000000006" w:lineRule="auto"/>
        <w:ind w:left="720" w:hanging="360"/>
        <w:rPr>
          <w:color w:val="222222"/>
        </w:rPr>
      </w:pPr>
      <w:r w:rsidDel="00000000" w:rsidR="00000000" w:rsidRPr="00000000">
        <w:rPr>
          <w:rtl w:val="0"/>
        </w:rPr>
      </w:r>
    </w:p>
    <w:p w:rsidR="00000000" w:rsidDel="00000000" w:rsidP="00000000" w:rsidRDefault="00000000" w:rsidRPr="00000000" w14:paraId="00000035">
      <w:pPr>
        <w:numPr>
          <w:ilvl w:val="0"/>
          <w:numId w:val="7"/>
        </w:numPr>
        <w:spacing w:after="10" w:line="248.00000000000006" w:lineRule="auto"/>
        <w:ind w:left="720" w:hanging="36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6">
      <w:pPr>
        <w:numPr>
          <w:ilvl w:val="0"/>
          <w:numId w:val="7"/>
        </w:numPr>
        <w:spacing w:after="10" w:line="248.00000000000006" w:lineRule="auto"/>
        <w:ind w:left="720" w:hanging="36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7">
      <w:pPr>
        <w:numPr>
          <w:ilvl w:val="0"/>
          <w:numId w:val="7"/>
        </w:numPr>
        <w:spacing w:after="10" w:line="248.00000000000006" w:lineRule="auto"/>
        <w:ind w:left="720" w:hanging="36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8">
      <w:pPr>
        <w:numPr>
          <w:ilvl w:val="0"/>
          <w:numId w:val="7"/>
        </w:numPr>
        <w:spacing w:after="10" w:line="248.00000000000006" w:lineRule="auto"/>
        <w:ind w:left="720" w:hanging="360"/>
        <w:rPr>
          <w:rFonts w:ascii="Calibri" w:cs="Calibri" w:eastAsia="Calibri" w:hAnsi="Calibri"/>
          <w:color w:val="222222"/>
        </w:rPr>
      </w:pPr>
      <w:r w:rsidDel="00000000" w:rsidR="00000000" w:rsidRPr="00000000">
        <w:rPr>
          <w:rFonts w:ascii="Times New Roman" w:cs="Times New Roman" w:eastAsia="Times New Roman" w:hAnsi="Times New Roman"/>
          <w:color w:val="222222"/>
          <w:highlight w:val="white"/>
          <w:rtl w:val="0"/>
        </w:rPr>
        <w:t xml:space="preserve">Journal Technology Analysis &amp; Strategic Management, TASM. </w:t>
      </w:r>
    </w:p>
    <w:p w:rsidR="00000000" w:rsidDel="00000000" w:rsidP="00000000" w:rsidRDefault="00000000" w:rsidRPr="00000000" w14:paraId="00000039">
      <w:pPr>
        <w:numPr>
          <w:ilvl w:val="0"/>
          <w:numId w:val="7"/>
        </w:numPr>
        <w:spacing w:after="10" w:line="248.00000000000006" w:lineRule="auto"/>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10" w:line="248.0000000000000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10" w:line="248.0000000000000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76" w:line="259" w:lineRule="auto"/>
        <w:ind w:left="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 es que el(los) autor(es) está(n) interesado(s) en esta opción, su artículo no debe estar en proceso de publicación en otra revista. Esto debe indicarse en la ficha de registro.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3D">
      <w:pPr>
        <w:spacing w:after="79" w:line="259" w:lineRule="auto"/>
        <w:ind w:left="4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3E">
      <w:pPr>
        <w:spacing w:after="77" w:line="259" w:lineRule="auto"/>
        <w:ind w:left="4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3F">
      <w:pPr>
        <w:spacing w:after="79" w:line="259" w:lineRule="auto"/>
        <w:ind w:left="4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40">
      <w:pPr>
        <w:pStyle w:val="Heading1"/>
        <w:spacing w:after="78" w:before="0" w:line="259" w:lineRule="auto"/>
        <w:ind w:left="152" w:right="145"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NATURALEZA DEL TRACK (Del 1 al 10)</w:t>
      </w:r>
    </w:p>
    <w:p w:rsidR="00000000" w:rsidDel="00000000" w:rsidP="00000000" w:rsidRDefault="00000000" w:rsidRPr="00000000" w14:paraId="0000004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los siguientes tipos de artículos serán considerados como científicos:</w:t>
      </w:r>
    </w:p>
    <w:p w:rsidR="00000000" w:rsidDel="00000000" w:rsidP="00000000" w:rsidRDefault="00000000" w:rsidRPr="00000000" w14:paraId="0000004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4"/>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Artículos teóricos: son desarrollo de conceptos, revisión de literatura con identificación de brechas o análisis crítico. Este documento presenta los resultados de una investigación en la que se han analizado y sistematizado varias publicaciones. Dicha investigación debe incluir uno de los temas de seguimiento solicitados para dar cuenta del progreso, las críticas o las tendencias. Una de sus principales características es que presentan una cuidadosa bibliografía de al menos 50 referencias.</w:t>
      </w:r>
    </w:p>
    <w:p w:rsidR="00000000" w:rsidDel="00000000" w:rsidP="00000000" w:rsidRDefault="00000000" w:rsidRPr="00000000" w14:paraId="00000045">
      <w:pPr>
        <w:numPr>
          <w:ilvl w:val="0"/>
          <w:numId w:val="4"/>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con aplicaciones metodológicas: en este artículo, se apoyan, explican y muestran las nuevas prácticas para el estudio de un fenómeno particular. Este tipo de investigación incluye tanto aspectos teóricos como prácticos.</w:t>
      </w:r>
    </w:p>
    <w:p w:rsidR="00000000" w:rsidDel="00000000" w:rsidP="00000000" w:rsidRDefault="00000000" w:rsidRPr="00000000" w14:paraId="00000046">
      <w:pPr>
        <w:numPr>
          <w:ilvl w:val="0"/>
          <w:numId w:val="4"/>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de investigación empírica: este documento muestra en detalle los resultados originales de los proyectos de investigación y responde las preguntas desde un campo o pista.</w:t>
      </w:r>
    </w:p>
    <w:p w:rsidR="00000000" w:rsidDel="00000000" w:rsidP="00000000" w:rsidRDefault="00000000" w:rsidRPr="00000000" w14:paraId="00000047">
      <w:pPr>
        <w:numPr>
          <w:ilvl w:val="0"/>
          <w:numId w:val="4"/>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tipo de artículo debe ser indicado cuando es enviado. </w:t>
      </w:r>
    </w:p>
    <w:p w:rsidR="00000000" w:rsidDel="00000000" w:rsidP="00000000" w:rsidRDefault="00000000" w:rsidRPr="00000000" w14:paraId="0000004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ASPECTOS DE LA FORMA</w:t>
      </w:r>
    </w:p>
    <w:p w:rsidR="00000000" w:rsidDel="00000000" w:rsidP="00000000" w:rsidRDefault="00000000" w:rsidRPr="00000000" w14:paraId="0000004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Subir el archivo en PDF. </w:t>
      </w:r>
    </w:p>
    <w:p w:rsidR="00000000" w:rsidDel="00000000" w:rsidP="00000000" w:rsidRDefault="00000000" w:rsidRPr="00000000" w14:paraId="0000004C">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artículo/paper puede ser escrito en español, inglés o portugués. </w:t>
      </w:r>
    </w:p>
    <w:p w:rsidR="00000000" w:rsidDel="00000000" w:rsidP="00000000" w:rsidRDefault="00000000" w:rsidRPr="00000000" w14:paraId="0000004D">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límite es de 4 autores por artículo. </w:t>
      </w:r>
    </w:p>
    <w:p w:rsidR="00000000" w:rsidDel="00000000" w:rsidP="00000000" w:rsidRDefault="00000000" w:rsidRPr="00000000" w14:paraId="0000004E">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Utilizar interlineado "1,5". </w:t>
      </w:r>
    </w:p>
    <w:p w:rsidR="00000000" w:rsidDel="00000000" w:rsidP="00000000" w:rsidRDefault="00000000" w:rsidRPr="00000000" w14:paraId="0000004F">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Tamaño de papel A4. </w:t>
      </w:r>
    </w:p>
    <w:p w:rsidR="00000000" w:rsidDel="00000000" w:rsidP="00000000" w:rsidRDefault="00000000" w:rsidRPr="00000000" w14:paraId="00000050">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páginas deben estar numeradas por Word, no manualmente. </w:t>
      </w:r>
    </w:p>
    <w:p w:rsidR="00000000" w:rsidDel="00000000" w:rsidP="00000000" w:rsidRDefault="00000000" w:rsidRPr="00000000" w14:paraId="00000051">
      <w:pPr>
        <w:numPr>
          <w:ilvl w:val="0"/>
          <w:numId w:val="1"/>
        </w:numPr>
        <w:spacing w:after="391"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títulos de la sección serán centrados con Times 12 negrita y con mayúsculas, interlineado simple. No enumere las secciones o encabezados. Los títulos de las subsecciones estarán escritos con Times 12, cursiva. Ejemplo: </w:t>
      </w:r>
    </w:p>
    <w:p w:rsidR="00000000" w:rsidDel="00000000" w:rsidP="00000000" w:rsidRDefault="00000000" w:rsidRPr="00000000" w14:paraId="00000052">
      <w:pPr>
        <w:pBdr>
          <w:top w:color="000000" w:space="0" w:sz="4" w:val="single"/>
          <w:left w:color="000000" w:space="0" w:sz="4" w:val="single"/>
          <w:bottom w:color="000000" w:space="0" w:sz="4" w:val="single"/>
          <w:right w:color="000000" w:space="0" w:sz="4" w:val="single"/>
        </w:pBdr>
        <w:spacing w:line="261.99999999999994" w:lineRule="auto"/>
        <w:ind w:left="358" w:right="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1 </w:t>
      </w:r>
    </w:p>
    <w:p w:rsidR="00000000" w:rsidDel="00000000" w:rsidP="00000000" w:rsidRDefault="00000000" w:rsidRPr="00000000" w14:paraId="00000053">
      <w:pPr>
        <w:pBdr>
          <w:top w:color="000000" w:space="0" w:sz="4" w:val="single"/>
          <w:left w:color="000000" w:space="0" w:sz="4" w:val="single"/>
          <w:bottom w:color="000000" w:space="0" w:sz="4" w:val="single"/>
          <w:right w:color="000000" w:space="0" w:sz="4" w:val="single"/>
        </w:pBdr>
        <w:spacing w:line="259" w:lineRule="auto"/>
        <w:ind w:left="348" w:right="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Subtítulo segundo nivel </w:t>
      </w:r>
    </w:p>
    <w:p w:rsidR="00000000" w:rsidDel="00000000" w:rsidP="00000000" w:rsidRDefault="00000000" w:rsidRPr="00000000" w14:paraId="00000054">
      <w:pPr>
        <w:pBdr>
          <w:top w:color="000000" w:space="0" w:sz="4" w:val="single"/>
          <w:left w:color="000000" w:space="0" w:sz="4" w:val="single"/>
          <w:bottom w:color="000000" w:space="0" w:sz="4" w:val="single"/>
          <w:right w:color="000000" w:space="0" w:sz="4" w:val="single"/>
        </w:pBdr>
        <w:spacing w:after="324" w:line="261.99999999999994" w:lineRule="auto"/>
        <w:ind w:left="358" w:right="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2 </w:t>
      </w:r>
    </w:p>
    <w:p w:rsidR="00000000" w:rsidDel="00000000" w:rsidP="00000000" w:rsidRDefault="00000000" w:rsidRPr="00000000" w14:paraId="00000055">
      <w:pPr>
        <w:numPr>
          <w:ilvl w:val="0"/>
          <w:numId w:val="2"/>
        </w:numPr>
        <w:spacing w:after="22" w:line="257" w:lineRule="auto"/>
        <w:ind w:left="70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tablas y figuras serán colocadas en el cuerpo del artículo y no al final. Todas las tablas y figuras deben ser enumeradas secuencialmente, y debe referirse a ellas por su número (y no por su localización). Los títulos de las tablas deben colocarse encima, mientras que los de las figuras debe hacerse debajo. Se define como “figuras” todos aquellos gráficos, mapas, diagramas, fotografías y cualquier tipo de ilustración. Considerar que el artículo será trabajado en blanco-negro y los efectos pueden trabajarse con contrastes y tonos. </w:t>
      </w:r>
    </w:p>
    <w:p w:rsidR="00000000" w:rsidDel="00000000" w:rsidP="00000000" w:rsidRDefault="00000000" w:rsidRPr="00000000" w14:paraId="00000056">
      <w:pPr>
        <w:numPr>
          <w:ilvl w:val="0"/>
          <w:numId w:val="2"/>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ecuaciones deben ser numeradas consecutivamente a través del documento y alineadas a la derecha de esta manera: (1), (2), etc.</w:t>
      </w:r>
    </w:p>
    <w:p w:rsidR="00000000" w:rsidDel="00000000" w:rsidP="00000000" w:rsidRDefault="00000000" w:rsidRPr="00000000" w14:paraId="00000057">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forma de enunciar cifras es la siguiente: La parte entera de la cifra se separará de la parte decimal con una coma, no con un punto ni con un espacio. La coma solo se empleará para marcar los decimales, nunca para marcar los miles, como suele hacerse en inglés. Las cifras enteras de cuatro dígitos (de 1000 a 9999) se escribirán sin espacios, sin puntos y sin comas. Las cifras enteras de cinco dígitos o más llevarán un apóstrofe cada tres dígitos, contados de derecha a izquierda.  </w:t>
      </w:r>
    </w:p>
    <w:p w:rsidR="00000000" w:rsidDel="00000000" w:rsidP="00000000" w:rsidRDefault="00000000" w:rsidRPr="00000000" w14:paraId="00000058">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se debieran enumerar las variables, habrá que hacerlo con cursiva. Recomendamos tener cuidado y comprobar la consistencia del artículo. </w:t>
      </w:r>
    </w:p>
    <w:p w:rsidR="00000000" w:rsidDel="00000000" w:rsidP="00000000" w:rsidRDefault="00000000" w:rsidRPr="00000000" w14:paraId="00000059">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palabras extranjeras (excepto los nombres propios) van en cursiva. </w:t>
      </w:r>
    </w:p>
    <w:p w:rsidR="00000000" w:rsidDel="00000000" w:rsidP="00000000" w:rsidRDefault="00000000" w:rsidRPr="00000000" w14:paraId="0000005A">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 las reglas de la Asociación Americana de Psicología (6ª edición) se aplicarán a la presentación de textos, referencias de textos y citas. Para más información, consulte </w:t>
      </w:r>
      <w:hyperlink r:id="rId6">
        <w:r w:rsidDel="00000000" w:rsidR="00000000" w:rsidRPr="00000000">
          <w:rPr>
            <w:rFonts w:ascii="Times New Roman" w:cs="Times New Roman" w:eastAsia="Times New Roman" w:hAnsi="Times New Roman"/>
            <w:color w:val="0563c1"/>
            <w:sz w:val="24"/>
            <w:szCs w:val="24"/>
            <w:u w:val="single"/>
            <w:rtl w:val="0"/>
          </w:rPr>
          <w:t xml:space="preserve">http://owl.english.purdue.edu/owl/resource/560/01/</w:t>
        </w:r>
      </w:hyperlink>
      <w:r w:rsidDel="00000000" w:rsidR="00000000" w:rsidRPr="00000000">
        <w:rPr>
          <w:rtl w:val="0"/>
        </w:rPr>
      </w:r>
    </w:p>
    <w:p w:rsidR="00000000" w:rsidDel="00000000" w:rsidP="00000000" w:rsidRDefault="00000000" w:rsidRPr="00000000" w14:paraId="0000005B">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notas al pie no están permitidas. </w:t>
      </w:r>
    </w:p>
    <w:p w:rsidR="00000000" w:rsidDel="00000000" w:rsidP="00000000" w:rsidRDefault="00000000" w:rsidRPr="00000000" w14:paraId="0000005C">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Aparte del Track 1 (Economía y Finanzas), las notas a pie de página no están permitidas. </w:t>
      </w:r>
    </w:p>
    <w:p w:rsidR="00000000" w:rsidDel="00000000" w:rsidP="00000000" w:rsidRDefault="00000000" w:rsidRPr="00000000" w14:paraId="0000005D">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ser candidato a la conferencia, los artículos no deben tener más de dieciocho (18) páginas, incluidas las referencias.</w:t>
      </w:r>
    </w:p>
    <w:p w:rsidR="00000000" w:rsidDel="00000000" w:rsidP="00000000" w:rsidRDefault="00000000" w:rsidRPr="00000000" w14:paraId="0000005E">
      <w:pPr>
        <w:numPr>
          <w:ilvl w:val="0"/>
          <w:numId w:val="1"/>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densidad del artículo no tiene límites, pero debe tener aproximadamente 5000 palabras (además de tablas y gráficos). </w:t>
      </w:r>
    </w:p>
    <w:p w:rsidR="00000000" w:rsidDel="00000000" w:rsidP="00000000" w:rsidRDefault="00000000" w:rsidRPr="00000000" w14:paraId="0000005F">
      <w:pPr>
        <w:spacing w:after="22" w:line="257"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Style w:val="Heading1"/>
        <w:spacing w:after="266" w:before="0" w:line="259" w:lineRule="auto"/>
        <w:ind w:left="73" w:right="7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ESQUEMA DEL ARTÍCULO </w:t>
      </w:r>
      <w:r w:rsidDel="00000000" w:rsidR="00000000" w:rsidRPr="00000000">
        <w:rPr>
          <w:rtl w:val="0"/>
        </w:rPr>
      </w:r>
    </w:p>
    <w:p w:rsidR="00000000" w:rsidDel="00000000" w:rsidP="00000000" w:rsidRDefault="00000000" w:rsidRPr="00000000" w14:paraId="00000061">
      <w:pPr>
        <w:spacing w:after="123" w:line="24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Características y contenido de la primera página</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62">
      <w:pPr>
        <w:numPr>
          <w:ilvl w:val="0"/>
          <w:numId w:val="3"/>
        </w:numPr>
        <w:spacing w:line="257"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El título de su paper será escrito con Times, 16 negrita, centrado, y con letras negras. En adelante, todo el texto debe hacerse en letra Times 12. </w:t>
      </w:r>
    </w:p>
    <w:p w:rsidR="00000000" w:rsidDel="00000000" w:rsidP="00000000" w:rsidRDefault="00000000" w:rsidRPr="00000000" w14:paraId="00000063">
      <w:pPr>
        <w:numPr>
          <w:ilvl w:val="0"/>
          <w:numId w:val="3"/>
        </w:numPr>
        <w:spacing w:line="257"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No indicar nombres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correos electrónicos ni afiliaciones.</w:t>
      </w:r>
      <w:r w:rsidDel="00000000" w:rsidR="00000000" w:rsidRPr="00000000">
        <w:rPr>
          <w:rFonts w:ascii="Times New Roman" w:cs="Times New Roman" w:eastAsia="Times New Roman" w:hAnsi="Times New Roman"/>
          <w:sz w:val="24"/>
          <w:szCs w:val="24"/>
          <w:rtl w:val="0"/>
        </w:rPr>
        <w:t xml:space="preserve"> Esta información se llenará en la ficha de inscripción. </w:t>
      </w:r>
    </w:p>
    <w:p w:rsidR="00000000" w:rsidDel="00000000" w:rsidP="00000000" w:rsidRDefault="00000000" w:rsidRPr="00000000" w14:paraId="00000064">
      <w:pPr>
        <w:numPr>
          <w:ilvl w:val="0"/>
          <w:numId w:val="3"/>
        </w:numPr>
        <w:spacing w:line="257"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Fonts w:ascii="Times New Roman" w:cs="Times New Roman" w:eastAsia="Times New Roman" w:hAnsi="Times New Roman"/>
          <w:sz w:val="24"/>
          <w:szCs w:val="24"/>
          <w:rtl w:val="0"/>
        </w:rPr>
        <w:t xml:space="preserve"> No debe exceder las 100 palabras o 2000 caracteres. </w:t>
      </w:r>
    </w:p>
    <w:p w:rsidR="00000000" w:rsidDel="00000000" w:rsidP="00000000" w:rsidRDefault="00000000" w:rsidRPr="00000000" w14:paraId="00000065">
      <w:pPr>
        <w:numPr>
          <w:ilvl w:val="0"/>
          <w:numId w:val="3"/>
        </w:numPr>
        <w:spacing w:after="268" w:line="257"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 Al menos debe indicarse una, que facilite la indexación del artículo (máximo tres). El resumen y las palabras claves van con letras times 12, negrita </w:t>
      </w:r>
    </w:p>
    <w:p w:rsidR="00000000" w:rsidDel="00000000" w:rsidP="00000000" w:rsidRDefault="00000000" w:rsidRPr="00000000" w14:paraId="00000066">
      <w:pPr>
        <w:spacing w:after="203"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0"/>
          <w:szCs w:val="10"/>
          <w:rtl w:val="0"/>
        </w:rPr>
        <w:t xml:space="preserve"> </w:t>
      </w:r>
      <w:r w:rsidDel="00000000" w:rsidR="00000000" w:rsidRPr="00000000">
        <w:rPr>
          <w:rtl w:val="0"/>
        </w:rPr>
      </w:r>
    </w:p>
    <w:p w:rsidR="00000000" w:rsidDel="00000000" w:rsidP="00000000" w:rsidRDefault="00000000" w:rsidRPr="00000000" w14:paraId="00000067">
      <w:pPr>
        <w:spacing w:after="291" w:line="259" w:lineRule="auto"/>
        <w:ind w:left="10"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Características y contenido del resto del texto: Introducción y contenido</w:t>
      </w:r>
    </w:p>
    <w:p w:rsidR="00000000" w:rsidDel="00000000" w:rsidP="00000000" w:rsidRDefault="00000000" w:rsidRPr="00000000" w14:paraId="00000068">
      <w:pPr>
        <w:numPr>
          <w:ilvl w:val="0"/>
          <w:numId w:val="3"/>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Cuerpo principal (preferible) principalmente en trabajos de aplicación empírica.</w:t>
      </w:r>
    </w:p>
    <w:p w:rsidR="00000000" w:rsidDel="00000000" w:rsidP="00000000" w:rsidRDefault="00000000" w:rsidRPr="00000000" w14:paraId="00000069">
      <w:pPr>
        <w:numPr>
          <w:ilvl w:val="0"/>
          <w:numId w:val="8"/>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 teórico / revisión de la literatura.</w:t>
      </w:r>
    </w:p>
    <w:p w:rsidR="00000000" w:rsidDel="00000000" w:rsidP="00000000" w:rsidRDefault="00000000" w:rsidRPr="00000000" w14:paraId="0000006A">
      <w:pPr>
        <w:numPr>
          <w:ilvl w:val="0"/>
          <w:numId w:val="8"/>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Metodología</w:t>
      </w:r>
    </w:p>
    <w:p w:rsidR="00000000" w:rsidDel="00000000" w:rsidP="00000000" w:rsidRDefault="00000000" w:rsidRPr="00000000" w14:paraId="0000006B">
      <w:pPr>
        <w:numPr>
          <w:ilvl w:val="0"/>
          <w:numId w:val="8"/>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Desarrollo de la investigación (donde se señalan los resultados y los principales puntos de la contribución científica)</w:t>
      </w:r>
    </w:p>
    <w:p w:rsidR="00000000" w:rsidDel="00000000" w:rsidP="00000000" w:rsidRDefault="00000000" w:rsidRPr="00000000" w14:paraId="0000006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Palabras finales (conclusión, recomendaciones, investigaciones futuras, etc.).</w:t>
      </w:r>
    </w:p>
    <w:p w:rsidR="00000000" w:rsidDel="00000000" w:rsidP="00000000" w:rsidRDefault="00000000" w:rsidRPr="00000000" w14:paraId="0000006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Referencias completas.</w:t>
      </w:r>
    </w:p>
    <w:p w:rsidR="00000000" w:rsidDel="00000000" w:rsidP="00000000" w:rsidRDefault="00000000" w:rsidRPr="00000000" w14:paraId="0000006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Apéndice o anexos (opcional)</w:t>
      </w:r>
    </w:p>
    <w:p w:rsidR="00000000" w:rsidDel="00000000" w:rsidP="00000000" w:rsidRDefault="00000000" w:rsidRPr="00000000" w14:paraId="0000006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Style w:val="Heading1"/>
        <w:spacing w:after="78" w:before="0" w:line="259" w:lineRule="auto"/>
        <w:ind w:left="73" w:right="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SOBRE EL ENVÍO DEL PAPER </w:t>
      </w:r>
      <w:r w:rsidDel="00000000" w:rsidR="00000000" w:rsidRPr="00000000">
        <w:rPr>
          <w:rtl w:val="0"/>
        </w:rPr>
      </w:r>
    </w:p>
    <w:p w:rsidR="00000000" w:rsidDel="00000000" w:rsidP="00000000" w:rsidRDefault="00000000" w:rsidRPr="00000000" w14:paraId="00000071">
      <w:pPr>
        <w:numPr>
          <w:ilvl w:val="0"/>
          <w:numId w:val="3"/>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artículos deben ser subidos electrónicamente en </w:t>
      </w:r>
      <w:r w:rsidDel="00000000" w:rsidR="00000000" w:rsidRPr="00000000">
        <w:rPr>
          <w:rFonts w:ascii="Times New Roman" w:cs="Times New Roman" w:eastAsia="Times New Roman" w:hAnsi="Times New Roman"/>
          <w:color w:val="0563c1"/>
          <w:sz w:val="24"/>
          <w:szCs w:val="24"/>
          <w:u w:val="single"/>
          <w:rtl w:val="0"/>
        </w:rPr>
        <w:t xml:space="preserve">[easychair]</w:t>
      </w:r>
      <w:r w:rsidDel="00000000" w:rsidR="00000000" w:rsidRPr="00000000">
        <w:rPr>
          <w:rFonts w:ascii="Times New Roman" w:cs="Times New Roman" w:eastAsia="Times New Roman" w:hAnsi="Times New Roman"/>
          <w:sz w:val="24"/>
          <w:szCs w:val="24"/>
          <w:rtl w:val="0"/>
        </w:rPr>
        <w:t xml:space="preserve">.  (Habilitado a partir del 01 de abril)  Para ello uno de los autores (en representación de su equipo en caso de coautoría) deberá registrarse creando un usuario. En esta plataforma será posible hacer seguimiento al estatus de su artículo: su aceptación, comentarios o rechazo. </w:t>
      </w:r>
    </w:p>
    <w:p w:rsidR="00000000" w:rsidDel="00000000" w:rsidP="00000000" w:rsidRDefault="00000000" w:rsidRPr="00000000" w14:paraId="00000072">
      <w:pPr>
        <w:numPr>
          <w:ilvl w:val="0"/>
          <w:numId w:val="3"/>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ficha electrónica se debe llenar los datos de todos los involucrados e indicar el track de 1 al 14.  </w:t>
      </w:r>
    </w:p>
    <w:p w:rsidR="00000000" w:rsidDel="00000000" w:rsidP="00000000" w:rsidRDefault="00000000" w:rsidRPr="00000000" w14:paraId="00000073">
      <w:pPr>
        <w:numPr>
          <w:ilvl w:val="0"/>
          <w:numId w:val="3"/>
        </w:numPr>
        <w:spacing w:after="268"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mismo autor puede mandar más de un artículo, tanto como autor único o en coautoría. </w:t>
      </w:r>
    </w:p>
    <w:p w:rsidR="00000000" w:rsidDel="00000000" w:rsidP="00000000" w:rsidRDefault="00000000" w:rsidRPr="00000000" w14:paraId="00000074">
      <w:pPr>
        <w:pStyle w:val="Heading1"/>
        <w:spacing w:after="78" w:before="0" w:line="259" w:lineRule="auto"/>
        <w:ind w:left="73" w:right="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SOBRE LA REVISIÓN </w:t>
      </w:r>
      <w:r w:rsidDel="00000000" w:rsidR="00000000" w:rsidRPr="00000000">
        <w:rPr>
          <w:rtl w:val="0"/>
        </w:rPr>
      </w:r>
    </w:p>
    <w:p w:rsidR="00000000" w:rsidDel="00000000" w:rsidP="00000000" w:rsidRDefault="00000000" w:rsidRPr="00000000" w14:paraId="00000075">
      <w:pPr>
        <w:numPr>
          <w:ilvl w:val="0"/>
          <w:numId w:val="6"/>
        </w:numPr>
        <w:spacing w:after="22"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artículos pasarán por un control de calidad externo. Para garantizar la imparcialidad de la evaluación, los trabajos serán evaluados por especialistas en cada eje temático, en la modalidad de “blind review”, es decir, los revisores no conocerán la identidad ni la afiliación de los autores hasta el día de las exposiciones. Por cada artículo habrá al menos dos revisores supervisados por el presidente de la sesión (o track chair). </w:t>
      </w:r>
    </w:p>
    <w:p w:rsidR="00000000" w:rsidDel="00000000" w:rsidP="00000000" w:rsidRDefault="00000000" w:rsidRPr="00000000" w14:paraId="00000076">
      <w:pPr>
        <w:numPr>
          <w:ilvl w:val="0"/>
          <w:numId w:val="6"/>
        </w:numPr>
        <w:spacing w:after="22"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Serán considerandos los siguientes criterios: calidad o nivel académico, originalidad, aporte al conocimiento y a la docencia, claridad en la presentación, claridad de la redacción y de la literatura, interés y actualidad del tema. </w:t>
      </w:r>
    </w:p>
    <w:p w:rsidR="00000000" w:rsidDel="00000000" w:rsidP="00000000" w:rsidRDefault="00000000" w:rsidRPr="00000000" w14:paraId="00000077">
      <w:pPr>
        <w:numPr>
          <w:ilvl w:val="0"/>
          <w:numId w:val="6"/>
        </w:numPr>
        <w:spacing w:after="22"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resultados de la revisión pueden ser: (a) Aceptado, (b) Rechazado y (c) Invitar a Interactive Session. </w:t>
      </w:r>
    </w:p>
    <w:p w:rsidR="00000000" w:rsidDel="00000000" w:rsidP="00000000" w:rsidRDefault="00000000" w:rsidRPr="00000000" w14:paraId="00000078">
      <w:pPr>
        <w:numPr>
          <w:ilvl w:val="0"/>
          <w:numId w:val="6"/>
        </w:numPr>
        <w:spacing w:after="269"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sesiones interactivas corresponden a papers prometedores, pero que requieren mejoras mayores.  Durante dichas sesiones se les ofrecerá retroalimentación. </w:t>
      </w:r>
    </w:p>
    <w:p w:rsidR="00000000" w:rsidDel="00000000" w:rsidP="00000000" w:rsidRDefault="00000000" w:rsidRPr="00000000" w14:paraId="00000079">
      <w:pPr>
        <w:pStyle w:val="Heading1"/>
        <w:spacing w:after="78" w:before="0" w:line="259" w:lineRule="auto"/>
        <w:ind w:left="73" w:right="6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SOBRE EL CONGRESO </w:t>
      </w:r>
      <w:r w:rsidDel="00000000" w:rsidR="00000000" w:rsidRPr="00000000">
        <w:rPr>
          <w:rtl w:val="0"/>
        </w:rPr>
      </w:r>
    </w:p>
    <w:p w:rsidR="00000000" w:rsidDel="00000000" w:rsidP="00000000" w:rsidRDefault="00000000" w:rsidRPr="00000000" w14:paraId="0000007A">
      <w:pPr>
        <w:numPr>
          <w:ilvl w:val="0"/>
          <w:numId w:val="5"/>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menos 1 autor del equipo de autores debe asistir para hacer la exposición de su investigación.  </w:t>
      </w:r>
    </w:p>
    <w:p w:rsidR="00000000" w:rsidDel="00000000" w:rsidP="00000000" w:rsidRDefault="00000000" w:rsidRPr="00000000" w14:paraId="0000007B">
      <w:pPr>
        <w:numPr>
          <w:ilvl w:val="0"/>
          <w:numId w:val="5"/>
        </w:numPr>
        <w:spacing w:line="257"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 autor puede enviar cómo máximo 2 artículos con un solo pago. En caso de enviar 3 artículos o más, el pago por participación será mayor.</w:t>
      </w:r>
    </w:p>
    <w:p w:rsidR="00000000" w:rsidDel="00000000" w:rsidP="00000000" w:rsidRDefault="00000000" w:rsidRPr="00000000" w14:paraId="0000007C">
      <w:pPr>
        <w:numPr>
          <w:ilvl w:val="0"/>
          <w:numId w:val="5"/>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se otorgará certificado a aquel autor o autores que realicen su registro y pago correspondiente.</w:t>
      </w:r>
    </w:p>
    <w:p w:rsidR="00000000" w:rsidDel="00000000" w:rsidP="00000000" w:rsidRDefault="00000000" w:rsidRPr="00000000" w14:paraId="0000007D">
      <w:pPr>
        <w:numPr>
          <w:ilvl w:val="0"/>
          <w:numId w:val="5"/>
        </w:numPr>
        <w:spacing w:line="2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3 a más autores podrán solicitar tarifa grupal. Solicitar términos y condiciones a </w:t>
      </w:r>
      <w:hyperlink r:id="rId7">
        <w:r w:rsidDel="00000000" w:rsidR="00000000" w:rsidRPr="00000000">
          <w:rPr>
            <w:rFonts w:ascii="Times New Roman" w:cs="Times New Roman" w:eastAsia="Times New Roman" w:hAnsi="Times New Roman"/>
            <w:color w:val="0563c1"/>
            <w:sz w:val="24"/>
            <w:szCs w:val="24"/>
            <w:u w:val="single"/>
            <w:rtl w:val="0"/>
          </w:rPr>
          <w:t xml:space="preserve">info@cladea.org</w:t>
        </w:r>
      </w:hyperlink>
      <w:r w:rsidDel="00000000" w:rsidR="00000000" w:rsidRPr="00000000">
        <w:rPr>
          <w:rFonts w:ascii="Times New Roman" w:cs="Times New Roman" w:eastAsia="Times New Roman" w:hAnsi="Times New Roman"/>
          <w:sz w:val="24"/>
          <w:szCs w:val="24"/>
          <w:rtl w:val="0"/>
        </w:rPr>
        <w:t xml:space="preserve"> o </w:t>
      </w:r>
      <w:hyperlink r:id="rId8">
        <w:r w:rsidDel="00000000" w:rsidR="00000000" w:rsidRPr="00000000">
          <w:rPr>
            <w:rFonts w:ascii="Times New Roman" w:cs="Times New Roman" w:eastAsia="Times New Roman" w:hAnsi="Times New Roman"/>
            <w:color w:val="1155cc"/>
            <w:sz w:val="24"/>
            <w:szCs w:val="24"/>
            <w:u w:val="single"/>
            <w:rtl w:val="0"/>
          </w:rPr>
          <w:t xml:space="preserve">pastete@cladea.org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after="79"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76"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Executive Office – CLADEA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Noto Sans Symbols"/>
  <w:font w:name="Courier New"/>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135" w:hanging="360"/>
      </w:pPr>
      <w:rPr>
        <w:rFonts w:ascii="Noto Sans Symbols" w:cs="Noto Sans Symbols" w:eastAsia="Noto Sans Symbols" w:hAnsi="Noto Sans Symbols"/>
      </w:rPr>
    </w:lvl>
    <w:lvl w:ilvl="1">
      <w:start w:val="1"/>
      <w:numFmt w:val="bullet"/>
      <w:lvlText w:val="o"/>
      <w:lvlJc w:val="left"/>
      <w:pPr>
        <w:ind w:left="1855" w:hanging="360"/>
      </w:pPr>
      <w:rPr>
        <w:rFonts w:ascii="Courier New" w:cs="Courier New" w:eastAsia="Courier New" w:hAnsi="Courier New"/>
      </w:rPr>
    </w:lvl>
    <w:lvl w:ilvl="2">
      <w:start w:val="1"/>
      <w:numFmt w:val="bullet"/>
      <w:lvlText w:val="▪"/>
      <w:lvlJc w:val="left"/>
      <w:pPr>
        <w:ind w:left="2575" w:hanging="360"/>
      </w:pPr>
      <w:rPr>
        <w:rFonts w:ascii="Noto Sans Symbols" w:cs="Noto Sans Symbols" w:eastAsia="Noto Sans Symbols" w:hAnsi="Noto Sans Symbols"/>
      </w:rPr>
    </w:lvl>
    <w:lvl w:ilvl="3">
      <w:start w:val="1"/>
      <w:numFmt w:val="bullet"/>
      <w:lvlText w:val="●"/>
      <w:lvlJc w:val="left"/>
      <w:pPr>
        <w:ind w:left="3295" w:hanging="360"/>
      </w:pPr>
      <w:rPr>
        <w:rFonts w:ascii="Noto Sans Symbols" w:cs="Noto Sans Symbols" w:eastAsia="Noto Sans Symbols" w:hAnsi="Noto Sans Symbols"/>
      </w:rPr>
    </w:lvl>
    <w:lvl w:ilvl="4">
      <w:start w:val="1"/>
      <w:numFmt w:val="bullet"/>
      <w:lvlText w:val="o"/>
      <w:lvlJc w:val="left"/>
      <w:pPr>
        <w:ind w:left="4015" w:hanging="360"/>
      </w:pPr>
      <w:rPr>
        <w:rFonts w:ascii="Courier New" w:cs="Courier New" w:eastAsia="Courier New" w:hAnsi="Courier New"/>
      </w:rPr>
    </w:lvl>
    <w:lvl w:ilvl="5">
      <w:start w:val="1"/>
      <w:numFmt w:val="bullet"/>
      <w:lvlText w:val="▪"/>
      <w:lvlJc w:val="left"/>
      <w:pPr>
        <w:ind w:left="4735" w:hanging="360"/>
      </w:pPr>
      <w:rPr>
        <w:rFonts w:ascii="Noto Sans Symbols" w:cs="Noto Sans Symbols" w:eastAsia="Noto Sans Symbols" w:hAnsi="Noto Sans Symbols"/>
      </w:rPr>
    </w:lvl>
    <w:lvl w:ilvl="6">
      <w:start w:val="1"/>
      <w:numFmt w:val="bullet"/>
      <w:lvlText w:val="●"/>
      <w:lvlJc w:val="left"/>
      <w:pPr>
        <w:ind w:left="5455" w:hanging="360"/>
      </w:pPr>
      <w:rPr>
        <w:rFonts w:ascii="Noto Sans Symbols" w:cs="Noto Sans Symbols" w:eastAsia="Noto Sans Symbols" w:hAnsi="Noto Sans Symbols"/>
      </w:rPr>
    </w:lvl>
    <w:lvl w:ilvl="7">
      <w:start w:val="1"/>
      <w:numFmt w:val="bullet"/>
      <w:lvlText w:val="o"/>
      <w:lvlJc w:val="left"/>
      <w:pPr>
        <w:ind w:left="6175" w:hanging="360"/>
      </w:pPr>
      <w:rPr>
        <w:rFonts w:ascii="Courier New" w:cs="Courier New" w:eastAsia="Courier New" w:hAnsi="Courier New"/>
      </w:rPr>
    </w:lvl>
    <w:lvl w:ilvl="8">
      <w:start w:val="1"/>
      <w:numFmt w:val="bullet"/>
      <w:lvlText w:val="▪"/>
      <w:lvlJc w:val="left"/>
      <w:pPr>
        <w:ind w:left="689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720"/>
      </w:pPr>
      <w:rPr>
        <w:rFonts w:ascii="Quattrocento Sans" w:cs="Quattrocento Sans" w:eastAsia="Quattrocento Sans" w:hAnsi="Quattrocento Sans"/>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owl.english.purdue.edu/owl/resource/560/01/" TargetMode="External"/><Relationship Id="rId7" Type="http://schemas.openxmlformats.org/officeDocument/2006/relationships/hyperlink" Target="mailto:info@cladea.org" TargetMode="External"/><Relationship Id="rId8" Type="http://schemas.openxmlformats.org/officeDocument/2006/relationships/hyperlink" Target="mailto:pastete@clad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